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26A64" w14:textId="77777777" w:rsidR="00FA7794" w:rsidRPr="00FA7794" w:rsidRDefault="00FA7794" w:rsidP="007B60E9">
      <w:pPr>
        <w:pStyle w:val="Pavadinimas"/>
      </w:pPr>
    </w:p>
    <w:p w14:paraId="6FE88486" w14:textId="77777777" w:rsidR="00C3671E" w:rsidRDefault="00C3671E" w:rsidP="007B60E9">
      <w:pPr>
        <w:pStyle w:val="Pavadinimas"/>
      </w:pPr>
    </w:p>
    <w:p w14:paraId="4630EECF" w14:textId="41C83217" w:rsidR="00495B10" w:rsidRPr="007B60E9" w:rsidRDefault="00CB12E5" w:rsidP="007B60E9">
      <w:pPr>
        <w:pStyle w:val="Pavadinimas"/>
      </w:pPr>
      <w:r>
        <w:t>Final</w:t>
      </w:r>
      <w:r w:rsidR="00272200" w:rsidRPr="007B60E9">
        <w:t xml:space="preserve"> R</w:t>
      </w:r>
      <w:r w:rsidR="00495B10" w:rsidRPr="007B60E9">
        <w:t>eview R</w:t>
      </w:r>
      <w:r w:rsidR="00C3671E" w:rsidRPr="007B60E9">
        <w:t>eport</w:t>
      </w:r>
      <w:r w:rsidR="00272200" w:rsidRPr="007B60E9">
        <w:t xml:space="preserve"> </w:t>
      </w:r>
      <w:r w:rsidR="00E63A71" w:rsidRPr="007B60E9">
        <w:t>2020</w:t>
      </w:r>
    </w:p>
    <w:p w14:paraId="5E4644DA" w14:textId="77777777" w:rsidR="00272200" w:rsidRPr="00272200" w:rsidRDefault="00272200" w:rsidP="00272200"/>
    <w:p w14:paraId="48CC4E3D" w14:textId="4DB8407C" w:rsidR="00A47DE1" w:rsidRPr="00A47DE1" w:rsidRDefault="00A47DE1" w:rsidP="00A47DE1">
      <w:pPr>
        <w:pStyle w:val="Paantrat"/>
        <w:jc w:val="center"/>
        <w:rPr>
          <w:color w:val="40A0A0"/>
        </w:rPr>
      </w:pPr>
      <w:r w:rsidRPr="00A47DE1">
        <w:rPr>
          <w:color w:val="40A0A0"/>
        </w:rPr>
        <w:t>Review of National Air Pollutant Emission Inventory Data 2020 under Directive 2016/2284 (</w:t>
      </w:r>
      <w:r w:rsidR="0099295A" w:rsidRPr="0099295A">
        <w:rPr>
          <w:color w:val="40A0A0"/>
        </w:rPr>
        <w:t>National Emission reduction Commitment</w:t>
      </w:r>
      <w:r w:rsidR="008C5911">
        <w:rPr>
          <w:color w:val="40A0A0"/>
        </w:rPr>
        <w:t>s</w:t>
      </w:r>
      <w:r w:rsidR="0099295A" w:rsidRPr="0099295A">
        <w:rPr>
          <w:color w:val="40A0A0"/>
        </w:rPr>
        <w:t xml:space="preserve"> Directive</w:t>
      </w:r>
      <w:r w:rsidRPr="00A47DE1">
        <w:rPr>
          <w:color w:val="40A0A0"/>
        </w:rPr>
        <w:t>) Service Contract No. 070201/2019/8159797/SER/ENV.C.3</w:t>
      </w:r>
    </w:p>
    <w:p w14:paraId="60E25B57" w14:textId="77777777" w:rsidR="00A47DE1" w:rsidRPr="00A47DE1" w:rsidRDefault="00A47DE1" w:rsidP="00A47DE1">
      <w:pPr>
        <w:rPr>
          <w:color w:val="40A0A0"/>
        </w:rPr>
      </w:pPr>
    </w:p>
    <w:p w14:paraId="66D708FF" w14:textId="77777777" w:rsidR="00C3671E" w:rsidRPr="00A47DE1" w:rsidRDefault="00C3671E" w:rsidP="007B60E9">
      <w:pPr>
        <w:pStyle w:val="Pavadinimas"/>
      </w:pPr>
    </w:p>
    <w:p w14:paraId="62810A28" w14:textId="77777777" w:rsidR="00C3671E" w:rsidRPr="00A47DE1" w:rsidRDefault="002256E1" w:rsidP="007B60E9">
      <w:pPr>
        <w:pStyle w:val="Pavadinimas"/>
      </w:pPr>
      <w:r>
        <w:t xml:space="preserve"> Lithuania </w:t>
      </w:r>
    </w:p>
    <w:p w14:paraId="0B6F937A" w14:textId="77777777" w:rsidR="00C3671E" w:rsidRPr="00A47DE1" w:rsidRDefault="00C3671E" w:rsidP="007B60E9">
      <w:pPr>
        <w:pStyle w:val="Pavadinimas"/>
      </w:pPr>
    </w:p>
    <w:p w14:paraId="527954DC" w14:textId="26D5F88D" w:rsidR="00C3671E" w:rsidRPr="007B60E9" w:rsidRDefault="00CB12E5" w:rsidP="007B60E9">
      <w:pPr>
        <w:pStyle w:val="Pavadinimas"/>
        <w:rPr>
          <w:sz w:val="40"/>
          <w:szCs w:val="40"/>
        </w:rPr>
      </w:pPr>
      <w:r>
        <w:rPr>
          <w:sz w:val="40"/>
          <w:szCs w:val="40"/>
        </w:rPr>
        <w:t>20</w:t>
      </w:r>
      <w:r w:rsidR="00272200" w:rsidRPr="007B60E9">
        <w:rPr>
          <w:sz w:val="40"/>
          <w:szCs w:val="40"/>
        </w:rPr>
        <w:t xml:space="preserve"> </w:t>
      </w:r>
      <w:r>
        <w:rPr>
          <w:sz w:val="40"/>
          <w:szCs w:val="40"/>
        </w:rPr>
        <w:t>Novem</w:t>
      </w:r>
      <w:r w:rsidR="00272200" w:rsidRPr="007B60E9">
        <w:rPr>
          <w:sz w:val="40"/>
          <w:szCs w:val="40"/>
        </w:rPr>
        <w:t>ber 2020</w:t>
      </w:r>
    </w:p>
    <w:p w14:paraId="13B955D7" w14:textId="77777777" w:rsidR="00C3671E" w:rsidRPr="00A47DE1" w:rsidRDefault="00C3671E" w:rsidP="007B60E9">
      <w:pPr>
        <w:pStyle w:val="Pavadinimas"/>
      </w:pPr>
    </w:p>
    <w:p w14:paraId="481ECB62" w14:textId="77777777" w:rsidR="00E257A4" w:rsidRPr="00A47DE1" w:rsidRDefault="00E257A4" w:rsidP="00E257A4">
      <w:pPr>
        <w:rPr>
          <w:color w:val="40A0A0"/>
        </w:rPr>
      </w:pPr>
    </w:p>
    <w:p w14:paraId="606D43DE" w14:textId="77777777" w:rsidR="00E257A4" w:rsidRPr="00A47DE1" w:rsidRDefault="00E257A4" w:rsidP="00E257A4">
      <w:pPr>
        <w:rPr>
          <w:color w:val="40A0A0"/>
        </w:rPr>
      </w:pPr>
    </w:p>
    <w:p w14:paraId="5AD1909C" w14:textId="77777777" w:rsidR="00E257A4" w:rsidRPr="00A47DE1" w:rsidRDefault="00E257A4" w:rsidP="00E257A4">
      <w:pPr>
        <w:rPr>
          <w:color w:val="40A0A0"/>
        </w:rPr>
      </w:pPr>
    </w:p>
    <w:p w14:paraId="34A59F44" w14:textId="77777777" w:rsidR="00102BA0" w:rsidRDefault="00102BA0" w:rsidP="00E257A4">
      <w:pPr>
        <w:rPr>
          <w:color w:val="40A0A0"/>
        </w:rPr>
      </w:pPr>
      <w:bookmarkStart w:id="0" w:name="_Toc225486640"/>
    </w:p>
    <w:p w14:paraId="50DBD170" w14:textId="77777777" w:rsidR="00272200" w:rsidRDefault="00272200" w:rsidP="00E257A4">
      <w:pPr>
        <w:rPr>
          <w:color w:val="40A0A0"/>
        </w:rPr>
      </w:pPr>
    </w:p>
    <w:p w14:paraId="1BFE9872" w14:textId="77777777" w:rsidR="00272200" w:rsidRDefault="00272200" w:rsidP="00E257A4">
      <w:pPr>
        <w:rPr>
          <w:color w:val="40A0A0"/>
        </w:rPr>
      </w:pPr>
    </w:p>
    <w:p w14:paraId="112B1054" w14:textId="77777777" w:rsidR="00272200" w:rsidRDefault="00272200" w:rsidP="00E257A4">
      <w:pPr>
        <w:rPr>
          <w:color w:val="40A0A0"/>
        </w:rPr>
      </w:pPr>
    </w:p>
    <w:p w14:paraId="3C1E21DC" w14:textId="77777777" w:rsidR="00272200" w:rsidRDefault="00272200" w:rsidP="00E257A4">
      <w:pPr>
        <w:rPr>
          <w:color w:val="40A0A0"/>
        </w:rPr>
      </w:pPr>
    </w:p>
    <w:p w14:paraId="6B05C95D" w14:textId="77777777" w:rsidR="00272200" w:rsidRDefault="00272200" w:rsidP="00E257A4">
      <w:pPr>
        <w:rPr>
          <w:color w:val="40A0A0"/>
        </w:rPr>
      </w:pPr>
    </w:p>
    <w:p w14:paraId="580AE9D2" w14:textId="77777777" w:rsidR="00272200" w:rsidRPr="00A47DE1" w:rsidRDefault="00272200" w:rsidP="00E257A4">
      <w:pPr>
        <w:rPr>
          <w:color w:val="40A0A0"/>
        </w:rPr>
      </w:pPr>
    </w:p>
    <w:p w14:paraId="35B91301" w14:textId="77777777" w:rsidR="00C902FF" w:rsidRPr="00A47DE1" w:rsidRDefault="00510C6A" w:rsidP="00A47DE1">
      <w:pPr>
        <w:pStyle w:val="RefDatum"/>
        <w:jc w:val="right"/>
        <w:rPr>
          <w:b/>
          <w:color w:val="40A0A0"/>
        </w:rPr>
      </w:pPr>
      <w:r w:rsidRPr="00A47DE1">
        <w:rPr>
          <w:rFonts w:cs="Arial"/>
          <w:b/>
          <w:bCs/>
          <w:color w:val="40A0A0"/>
          <w:lang w:eastAsia="fr-BE"/>
        </w:rPr>
        <w:t>Reference:</w:t>
      </w:r>
      <w:bookmarkEnd w:id="0"/>
      <w:r w:rsidR="0048506E" w:rsidRPr="00A47DE1">
        <w:rPr>
          <w:rFonts w:cs="Arial"/>
          <w:b/>
          <w:bCs/>
          <w:color w:val="40A0A0"/>
          <w:lang w:eastAsia="fr-BE"/>
        </w:rPr>
        <w:t xml:space="preserve"> </w:t>
      </w:r>
      <w:r w:rsidR="00A47DE1" w:rsidRPr="00A47DE1">
        <w:rPr>
          <w:b/>
          <w:color w:val="40A0A0"/>
        </w:rPr>
        <w:t>Service Contract No. 070201/2019/8159797/SER/ENV.C.3</w:t>
      </w:r>
    </w:p>
    <w:p w14:paraId="181ACE8E" w14:textId="77777777" w:rsidR="00A47DE1" w:rsidRPr="00A47DE1" w:rsidRDefault="00A47DE1" w:rsidP="00A47DE1">
      <w:pPr>
        <w:ind w:left="6480"/>
        <w:jc w:val="right"/>
        <w:rPr>
          <w:color w:val="40A0A0"/>
          <w:lang w:val="de-AT" w:eastAsia="fr-BE"/>
        </w:rPr>
      </w:pPr>
      <w:r w:rsidRPr="00A47DE1">
        <w:rPr>
          <w:b/>
          <w:bCs/>
          <w:color w:val="40A0A0"/>
          <w:lang w:val="de-AT" w:eastAsia="fr-BE"/>
        </w:rPr>
        <w:t>Umweltbundesamt GmbH</w:t>
      </w:r>
      <w:r w:rsidRPr="00A47DE1">
        <w:rPr>
          <w:color w:val="40A0A0"/>
          <w:lang w:val="de-AT" w:eastAsia="fr-BE"/>
        </w:rPr>
        <w:br/>
        <w:t>Spittelauer Lände 5</w:t>
      </w:r>
      <w:r w:rsidRPr="00A47DE1">
        <w:rPr>
          <w:color w:val="40A0A0"/>
          <w:lang w:val="de-AT" w:eastAsia="fr-BE"/>
        </w:rPr>
        <w:br/>
        <w:t>1090 Vienna</w:t>
      </w:r>
      <w:r w:rsidRPr="00A47DE1">
        <w:rPr>
          <w:color w:val="40A0A0"/>
          <w:lang w:val="de-AT" w:eastAsia="fr-BE"/>
        </w:rPr>
        <w:br/>
        <w:t>Austria</w:t>
      </w:r>
    </w:p>
    <w:p w14:paraId="5772D21C" w14:textId="77777777" w:rsidR="00C3671E" w:rsidRPr="00601469" w:rsidRDefault="00C3671E" w:rsidP="00C902FF">
      <w:pPr>
        <w:jc w:val="right"/>
        <w:rPr>
          <w:highlight w:val="yellow"/>
          <w:lang w:val="de-AT"/>
        </w:rPr>
      </w:pPr>
      <w:r w:rsidRPr="00601469">
        <w:rPr>
          <w:highlight w:val="yellow"/>
          <w:lang w:val="de-AT"/>
        </w:rPr>
        <w:br w:type="page"/>
      </w:r>
    </w:p>
    <w:sdt>
      <w:sdtPr>
        <w:rPr>
          <w:b/>
          <w:bCs/>
        </w:rPr>
        <w:id w:val="2106001895"/>
        <w:docPartObj>
          <w:docPartGallery w:val="Table of Contents"/>
          <w:docPartUnique/>
        </w:docPartObj>
      </w:sdtPr>
      <w:sdtEndPr>
        <w:rPr>
          <w:b w:val="0"/>
          <w:bCs w:val="0"/>
          <w:noProof/>
        </w:rPr>
      </w:sdtEndPr>
      <w:sdtContent>
        <w:p w14:paraId="6AF362AC" w14:textId="77777777" w:rsidR="00C3671E" w:rsidRPr="00C3671E" w:rsidRDefault="00C3671E" w:rsidP="00C3671E">
          <w:pPr>
            <w:rPr>
              <w:lang w:val="en-US"/>
            </w:rPr>
          </w:pPr>
          <w:r w:rsidRPr="00B34B14">
            <w:rPr>
              <w:color w:val="2E74B5" w:themeColor="accent1" w:themeShade="BF"/>
              <w:sz w:val="32"/>
              <w:szCs w:val="32"/>
            </w:rPr>
            <w:t>Contents</w:t>
          </w:r>
        </w:p>
        <w:p w14:paraId="4C536D61" w14:textId="5951D8E5" w:rsidR="00774955" w:rsidRDefault="00AE4156">
          <w:pPr>
            <w:pStyle w:val="Turinys1"/>
            <w:rPr>
              <w:rFonts w:eastAsiaTheme="minorEastAsia"/>
              <w:noProof/>
              <w:lang w:eastAsia="en-GB"/>
            </w:rPr>
          </w:pPr>
          <w:r>
            <w:fldChar w:fldCharType="begin"/>
          </w:r>
          <w:r w:rsidR="00C3671E">
            <w:instrText xml:space="preserve"> TOC \o "1-3" \h \z \u </w:instrText>
          </w:r>
          <w:r>
            <w:fldChar w:fldCharType="separate"/>
          </w:r>
          <w:hyperlink w:anchor="_Toc53738303" w:history="1">
            <w:r w:rsidR="00774955" w:rsidRPr="003B14AD">
              <w:rPr>
                <w:rStyle w:val="Hipersaitas"/>
                <w:noProof/>
              </w:rPr>
              <w:t>I.</w:t>
            </w:r>
            <w:r w:rsidR="00774955">
              <w:rPr>
                <w:rFonts w:eastAsiaTheme="minorEastAsia"/>
                <w:noProof/>
                <w:lang w:eastAsia="en-GB"/>
              </w:rPr>
              <w:tab/>
            </w:r>
            <w:r w:rsidR="00774955" w:rsidRPr="003B14AD">
              <w:rPr>
                <w:rStyle w:val="Hipersaitas"/>
                <w:noProof/>
              </w:rPr>
              <w:t>Introduction</w:t>
            </w:r>
            <w:r w:rsidR="00774955">
              <w:rPr>
                <w:noProof/>
                <w:webHidden/>
              </w:rPr>
              <w:tab/>
            </w:r>
            <w:r w:rsidR="00774955">
              <w:rPr>
                <w:noProof/>
                <w:webHidden/>
              </w:rPr>
              <w:fldChar w:fldCharType="begin"/>
            </w:r>
            <w:r w:rsidR="00774955">
              <w:rPr>
                <w:noProof/>
                <w:webHidden/>
              </w:rPr>
              <w:instrText xml:space="preserve"> PAGEREF _Toc53738303 \h </w:instrText>
            </w:r>
            <w:r w:rsidR="00774955">
              <w:rPr>
                <w:noProof/>
                <w:webHidden/>
              </w:rPr>
            </w:r>
            <w:r w:rsidR="00774955">
              <w:rPr>
                <w:noProof/>
                <w:webHidden/>
              </w:rPr>
              <w:fldChar w:fldCharType="separate"/>
            </w:r>
            <w:r w:rsidR="00774955">
              <w:rPr>
                <w:noProof/>
                <w:webHidden/>
              </w:rPr>
              <w:t>6</w:t>
            </w:r>
            <w:r w:rsidR="00774955">
              <w:rPr>
                <w:noProof/>
                <w:webHidden/>
              </w:rPr>
              <w:fldChar w:fldCharType="end"/>
            </w:r>
          </w:hyperlink>
        </w:p>
        <w:p w14:paraId="3797FFD3" w14:textId="052D2715" w:rsidR="00774955" w:rsidRDefault="00C10978">
          <w:pPr>
            <w:pStyle w:val="Turinys1"/>
            <w:rPr>
              <w:rFonts w:eastAsiaTheme="minorEastAsia"/>
              <w:noProof/>
              <w:lang w:eastAsia="en-GB"/>
            </w:rPr>
          </w:pPr>
          <w:hyperlink w:anchor="_Toc53738304" w:history="1">
            <w:r w:rsidR="00774955" w:rsidRPr="003B14AD">
              <w:rPr>
                <w:rStyle w:val="Hipersaitas"/>
                <w:noProof/>
              </w:rPr>
              <w:t>II.</w:t>
            </w:r>
            <w:r w:rsidR="00774955">
              <w:rPr>
                <w:rFonts w:eastAsiaTheme="minorEastAsia"/>
                <w:noProof/>
                <w:lang w:eastAsia="en-GB"/>
              </w:rPr>
              <w:tab/>
            </w:r>
            <w:r w:rsidR="00774955" w:rsidRPr="003B14AD">
              <w:rPr>
                <w:rStyle w:val="Hipersaitas"/>
                <w:noProof/>
              </w:rPr>
              <w:t>Objectives of the review</w:t>
            </w:r>
            <w:r w:rsidR="00774955">
              <w:rPr>
                <w:noProof/>
                <w:webHidden/>
              </w:rPr>
              <w:tab/>
            </w:r>
            <w:r w:rsidR="00774955">
              <w:rPr>
                <w:noProof/>
                <w:webHidden/>
              </w:rPr>
              <w:fldChar w:fldCharType="begin"/>
            </w:r>
            <w:r w:rsidR="00774955">
              <w:rPr>
                <w:noProof/>
                <w:webHidden/>
              </w:rPr>
              <w:instrText xml:space="preserve"> PAGEREF _Toc53738304 \h </w:instrText>
            </w:r>
            <w:r w:rsidR="00774955">
              <w:rPr>
                <w:noProof/>
                <w:webHidden/>
              </w:rPr>
            </w:r>
            <w:r w:rsidR="00774955">
              <w:rPr>
                <w:noProof/>
                <w:webHidden/>
              </w:rPr>
              <w:fldChar w:fldCharType="separate"/>
            </w:r>
            <w:r w:rsidR="00774955">
              <w:rPr>
                <w:noProof/>
                <w:webHidden/>
              </w:rPr>
              <w:t>7</w:t>
            </w:r>
            <w:r w:rsidR="00774955">
              <w:rPr>
                <w:noProof/>
                <w:webHidden/>
              </w:rPr>
              <w:fldChar w:fldCharType="end"/>
            </w:r>
          </w:hyperlink>
        </w:p>
        <w:p w14:paraId="5D3E1678" w14:textId="547E0ADC" w:rsidR="00774955" w:rsidRDefault="00C10978">
          <w:pPr>
            <w:pStyle w:val="Turinys1"/>
            <w:rPr>
              <w:rFonts w:eastAsiaTheme="minorEastAsia"/>
              <w:noProof/>
              <w:lang w:eastAsia="en-GB"/>
            </w:rPr>
          </w:pPr>
          <w:hyperlink w:anchor="_Toc53738305" w:history="1">
            <w:r w:rsidR="00774955" w:rsidRPr="003B14AD">
              <w:rPr>
                <w:rStyle w:val="Hipersaitas"/>
                <w:noProof/>
              </w:rPr>
              <w:t>III.</w:t>
            </w:r>
            <w:r w:rsidR="00774955">
              <w:rPr>
                <w:rFonts w:eastAsiaTheme="minorEastAsia"/>
                <w:noProof/>
                <w:lang w:eastAsia="en-GB"/>
              </w:rPr>
              <w:tab/>
            </w:r>
            <w:r w:rsidR="00774955" w:rsidRPr="003B14AD">
              <w:rPr>
                <w:rStyle w:val="Hipersaitas"/>
                <w:noProof/>
              </w:rPr>
              <w:t>Review approach, team and scope</w:t>
            </w:r>
            <w:r w:rsidR="00774955">
              <w:rPr>
                <w:noProof/>
                <w:webHidden/>
              </w:rPr>
              <w:tab/>
            </w:r>
            <w:r w:rsidR="00774955">
              <w:rPr>
                <w:noProof/>
                <w:webHidden/>
              </w:rPr>
              <w:fldChar w:fldCharType="begin"/>
            </w:r>
            <w:r w:rsidR="00774955">
              <w:rPr>
                <w:noProof/>
                <w:webHidden/>
              </w:rPr>
              <w:instrText xml:space="preserve"> PAGEREF _Toc53738305 \h </w:instrText>
            </w:r>
            <w:r w:rsidR="00774955">
              <w:rPr>
                <w:noProof/>
                <w:webHidden/>
              </w:rPr>
            </w:r>
            <w:r w:rsidR="00774955">
              <w:rPr>
                <w:noProof/>
                <w:webHidden/>
              </w:rPr>
              <w:fldChar w:fldCharType="separate"/>
            </w:r>
            <w:r w:rsidR="00774955">
              <w:rPr>
                <w:noProof/>
                <w:webHidden/>
              </w:rPr>
              <w:t>8</w:t>
            </w:r>
            <w:r w:rsidR="00774955">
              <w:rPr>
                <w:noProof/>
                <w:webHidden/>
              </w:rPr>
              <w:fldChar w:fldCharType="end"/>
            </w:r>
          </w:hyperlink>
        </w:p>
        <w:p w14:paraId="31F0EB1C" w14:textId="3F5EF3C8" w:rsidR="00774955" w:rsidRDefault="00C10978">
          <w:pPr>
            <w:pStyle w:val="Turinys1"/>
            <w:rPr>
              <w:rFonts w:eastAsiaTheme="minorEastAsia"/>
              <w:noProof/>
              <w:lang w:eastAsia="en-GB"/>
            </w:rPr>
          </w:pPr>
          <w:hyperlink w:anchor="_Toc53738306" w:history="1">
            <w:r w:rsidR="00774955" w:rsidRPr="003B14AD">
              <w:rPr>
                <w:rStyle w:val="Hipersaitas"/>
                <w:noProof/>
              </w:rPr>
              <w:t>IV.</w:t>
            </w:r>
            <w:r w:rsidR="00774955">
              <w:rPr>
                <w:rFonts w:eastAsiaTheme="minorEastAsia"/>
                <w:noProof/>
                <w:lang w:eastAsia="en-GB"/>
              </w:rPr>
              <w:tab/>
            </w:r>
            <w:r w:rsidR="00774955" w:rsidRPr="003B14AD">
              <w:rPr>
                <w:rStyle w:val="Hipersaitas"/>
                <w:noProof/>
              </w:rPr>
              <w:t>Overall assessment of the quality of the submissions</w:t>
            </w:r>
            <w:r w:rsidR="00774955">
              <w:rPr>
                <w:noProof/>
                <w:webHidden/>
              </w:rPr>
              <w:tab/>
            </w:r>
            <w:r w:rsidR="00774955">
              <w:rPr>
                <w:noProof/>
                <w:webHidden/>
              </w:rPr>
              <w:fldChar w:fldCharType="begin"/>
            </w:r>
            <w:r w:rsidR="00774955">
              <w:rPr>
                <w:noProof/>
                <w:webHidden/>
              </w:rPr>
              <w:instrText xml:space="preserve"> PAGEREF _Toc53738306 \h </w:instrText>
            </w:r>
            <w:r w:rsidR="00774955">
              <w:rPr>
                <w:noProof/>
                <w:webHidden/>
              </w:rPr>
            </w:r>
            <w:r w:rsidR="00774955">
              <w:rPr>
                <w:noProof/>
                <w:webHidden/>
              </w:rPr>
              <w:fldChar w:fldCharType="separate"/>
            </w:r>
            <w:r w:rsidR="00774955">
              <w:rPr>
                <w:noProof/>
                <w:webHidden/>
              </w:rPr>
              <w:t>11</w:t>
            </w:r>
            <w:r w:rsidR="00774955">
              <w:rPr>
                <w:noProof/>
                <w:webHidden/>
              </w:rPr>
              <w:fldChar w:fldCharType="end"/>
            </w:r>
          </w:hyperlink>
        </w:p>
        <w:p w14:paraId="02787222" w14:textId="6A50E668" w:rsidR="00774955" w:rsidRDefault="00C10978">
          <w:pPr>
            <w:pStyle w:val="Turinys1"/>
            <w:rPr>
              <w:rFonts w:eastAsiaTheme="minorEastAsia"/>
              <w:noProof/>
              <w:lang w:eastAsia="en-GB"/>
            </w:rPr>
          </w:pPr>
          <w:hyperlink w:anchor="_Toc53738307" w:history="1">
            <w:r w:rsidR="00774955" w:rsidRPr="003B14AD">
              <w:rPr>
                <w:rStyle w:val="Hipersaitas"/>
                <w:noProof/>
              </w:rPr>
              <w:t>V.</w:t>
            </w:r>
            <w:r w:rsidR="00774955">
              <w:rPr>
                <w:rFonts w:eastAsiaTheme="minorEastAsia"/>
                <w:noProof/>
                <w:lang w:eastAsia="en-GB"/>
              </w:rPr>
              <w:tab/>
            </w:r>
            <w:r w:rsidR="00774955" w:rsidRPr="003B14AD">
              <w:rPr>
                <w:rStyle w:val="Hipersaitas"/>
                <w:noProof/>
              </w:rPr>
              <w:t>Findings and conclusions from the technical expert review team for the follow-up review of national emission inventories for NO</w:t>
            </w:r>
            <w:r w:rsidR="00774955" w:rsidRPr="003B14AD">
              <w:rPr>
                <w:rStyle w:val="Hipersaitas"/>
                <w:noProof/>
                <w:vertAlign w:val="subscript"/>
              </w:rPr>
              <w:t>X</w:t>
            </w:r>
            <w:r w:rsidR="00774955" w:rsidRPr="003B14AD">
              <w:rPr>
                <w:rStyle w:val="Hipersaitas"/>
                <w:noProof/>
              </w:rPr>
              <w:t>, NMVOC, SO</w:t>
            </w:r>
            <w:r w:rsidR="00774955" w:rsidRPr="003B14AD">
              <w:rPr>
                <w:rStyle w:val="Hipersaitas"/>
                <w:noProof/>
                <w:vertAlign w:val="subscript"/>
              </w:rPr>
              <w:t>2</w:t>
            </w:r>
            <w:r w:rsidR="00774955" w:rsidRPr="003B14AD">
              <w:rPr>
                <w:rStyle w:val="Hipersaitas"/>
                <w:noProof/>
              </w:rPr>
              <w:t>, NH</w:t>
            </w:r>
            <w:r w:rsidR="00774955" w:rsidRPr="003B14AD">
              <w:rPr>
                <w:rStyle w:val="Hipersaitas"/>
                <w:noProof/>
                <w:vertAlign w:val="subscript"/>
              </w:rPr>
              <w:t>3</w:t>
            </w:r>
            <w:r w:rsidR="00774955" w:rsidRPr="003B14AD">
              <w:rPr>
                <w:rStyle w:val="Hipersaitas"/>
                <w:noProof/>
              </w:rPr>
              <w:t>, and PM</w:t>
            </w:r>
            <w:r w:rsidR="00774955" w:rsidRPr="003B14AD">
              <w:rPr>
                <w:rStyle w:val="Hipersaitas"/>
                <w:noProof/>
                <w:vertAlign w:val="subscript"/>
              </w:rPr>
              <w:t>2.5</w:t>
            </w:r>
            <w:r w:rsidR="00774955">
              <w:rPr>
                <w:noProof/>
                <w:webHidden/>
              </w:rPr>
              <w:tab/>
            </w:r>
            <w:r w:rsidR="00774955">
              <w:rPr>
                <w:noProof/>
                <w:webHidden/>
              </w:rPr>
              <w:fldChar w:fldCharType="begin"/>
            </w:r>
            <w:r w:rsidR="00774955">
              <w:rPr>
                <w:noProof/>
                <w:webHidden/>
              </w:rPr>
              <w:instrText xml:space="preserve"> PAGEREF _Toc53738307 \h </w:instrText>
            </w:r>
            <w:r w:rsidR="00774955">
              <w:rPr>
                <w:noProof/>
                <w:webHidden/>
              </w:rPr>
            </w:r>
            <w:r w:rsidR="00774955">
              <w:rPr>
                <w:noProof/>
                <w:webHidden/>
              </w:rPr>
              <w:fldChar w:fldCharType="separate"/>
            </w:r>
            <w:r w:rsidR="00774955">
              <w:rPr>
                <w:noProof/>
                <w:webHidden/>
              </w:rPr>
              <w:t>12</w:t>
            </w:r>
            <w:r w:rsidR="00774955">
              <w:rPr>
                <w:noProof/>
                <w:webHidden/>
              </w:rPr>
              <w:fldChar w:fldCharType="end"/>
            </w:r>
          </w:hyperlink>
        </w:p>
        <w:p w14:paraId="61BF3779" w14:textId="49715C93" w:rsidR="00774955" w:rsidRDefault="00C10978">
          <w:pPr>
            <w:pStyle w:val="Turinys1"/>
            <w:rPr>
              <w:rFonts w:eastAsiaTheme="minorEastAsia"/>
              <w:noProof/>
              <w:lang w:eastAsia="en-GB"/>
            </w:rPr>
          </w:pPr>
          <w:hyperlink w:anchor="_Toc53738308" w:history="1">
            <w:r w:rsidR="00774955" w:rsidRPr="003B14AD">
              <w:rPr>
                <w:rStyle w:val="Hipersaitas"/>
                <w:noProof/>
              </w:rPr>
              <w:t>VI.</w:t>
            </w:r>
            <w:r w:rsidR="00774955">
              <w:rPr>
                <w:rFonts w:eastAsiaTheme="minorEastAsia"/>
                <w:noProof/>
                <w:lang w:eastAsia="en-GB"/>
              </w:rPr>
              <w:tab/>
            </w:r>
            <w:r w:rsidR="00774955" w:rsidRPr="003B14AD">
              <w:rPr>
                <w:rStyle w:val="Hipersaitas"/>
                <w:noProof/>
              </w:rPr>
              <w:t>Findings and conclusions from the technical expert review team for the follow-up review of national emission inventories of POPs and heavy metals</w:t>
            </w:r>
            <w:r w:rsidR="00774955">
              <w:rPr>
                <w:noProof/>
                <w:webHidden/>
              </w:rPr>
              <w:tab/>
            </w:r>
            <w:r w:rsidR="00774955">
              <w:rPr>
                <w:noProof/>
                <w:webHidden/>
              </w:rPr>
              <w:fldChar w:fldCharType="begin"/>
            </w:r>
            <w:r w:rsidR="00774955">
              <w:rPr>
                <w:noProof/>
                <w:webHidden/>
              </w:rPr>
              <w:instrText xml:space="preserve"> PAGEREF _Toc53738308 \h </w:instrText>
            </w:r>
            <w:r w:rsidR="00774955">
              <w:rPr>
                <w:noProof/>
                <w:webHidden/>
              </w:rPr>
            </w:r>
            <w:r w:rsidR="00774955">
              <w:rPr>
                <w:noProof/>
                <w:webHidden/>
              </w:rPr>
              <w:fldChar w:fldCharType="separate"/>
            </w:r>
            <w:r w:rsidR="00774955">
              <w:rPr>
                <w:noProof/>
                <w:webHidden/>
              </w:rPr>
              <w:t>27</w:t>
            </w:r>
            <w:r w:rsidR="00774955">
              <w:rPr>
                <w:noProof/>
                <w:webHidden/>
              </w:rPr>
              <w:fldChar w:fldCharType="end"/>
            </w:r>
          </w:hyperlink>
        </w:p>
        <w:p w14:paraId="7FC014D7" w14:textId="6857E2A2" w:rsidR="00774955" w:rsidRDefault="00C10978">
          <w:pPr>
            <w:pStyle w:val="Turinys1"/>
            <w:rPr>
              <w:rFonts w:eastAsiaTheme="minorEastAsia"/>
              <w:noProof/>
              <w:lang w:eastAsia="en-GB"/>
            </w:rPr>
          </w:pPr>
          <w:hyperlink w:anchor="_Toc53738309" w:history="1">
            <w:r w:rsidR="00774955" w:rsidRPr="003B14AD">
              <w:rPr>
                <w:rStyle w:val="Hipersaitas"/>
                <w:noProof/>
              </w:rPr>
              <w:t>VII.</w:t>
            </w:r>
            <w:r w:rsidR="00774955">
              <w:rPr>
                <w:rFonts w:eastAsiaTheme="minorEastAsia"/>
                <w:noProof/>
                <w:lang w:eastAsia="en-GB"/>
              </w:rPr>
              <w:tab/>
            </w:r>
            <w:r w:rsidR="00774955" w:rsidRPr="003B14AD">
              <w:rPr>
                <w:rStyle w:val="Hipersaitas"/>
                <w:noProof/>
              </w:rPr>
              <w:t>Findings and conclusions from the technical expert review team for the LPS data</w:t>
            </w:r>
            <w:r w:rsidR="00774955">
              <w:rPr>
                <w:noProof/>
                <w:webHidden/>
              </w:rPr>
              <w:tab/>
            </w:r>
            <w:r w:rsidR="00774955">
              <w:rPr>
                <w:noProof/>
                <w:webHidden/>
              </w:rPr>
              <w:fldChar w:fldCharType="begin"/>
            </w:r>
            <w:r w:rsidR="00774955">
              <w:rPr>
                <w:noProof/>
                <w:webHidden/>
              </w:rPr>
              <w:instrText xml:space="preserve"> PAGEREF _Toc53738309 \h </w:instrText>
            </w:r>
            <w:r w:rsidR="00774955">
              <w:rPr>
                <w:noProof/>
                <w:webHidden/>
              </w:rPr>
            </w:r>
            <w:r w:rsidR="00774955">
              <w:rPr>
                <w:noProof/>
                <w:webHidden/>
              </w:rPr>
              <w:fldChar w:fldCharType="separate"/>
            </w:r>
            <w:r w:rsidR="00774955">
              <w:rPr>
                <w:noProof/>
                <w:webHidden/>
              </w:rPr>
              <w:t>34</w:t>
            </w:r>
            <w:r w:rsidR="00774955">
              <w:rPr>
                <w:noProof/>
                <w:webHidden/>
              </w:rPr>
              <w:fldChar w:fldCharType="end"/>
            </w:r>
          </w:hyperlink>
        </w:p>
        <w:p w14:paraId="06EC84EE" w14:textId="2A9CEC1A" w:rsidR="00774955" w:rsidRDefault="00C10978">
          <w:pPr>
            <w:pStyle w:val="Turinys1"/>
            <w:rPr>
              <w:rFonts w:eastAsiaTheme="minorEastAsia"/>
              <w:noProof/>
              <w:lang w:eastAsia="en-GB"/>
            </w:rPr>
          </w:pPr>
          <w:hyperlink w:anchor="_Toc53738310" w:history="1">
            <w:r w:rsidR="00774955" w:rsidRPr="003B14AD">
              <w:rPr>
                <w:rStyle w:val="Hipersaitas"/>
                <w:noProof/>
              </w:rPr>
              <w:t>VIII.</w:t>
            </w:r>
            <w:r w:rsidR="00774955">
              <w:rPr>
                <w:rFonts w:eastAsiaTheme="minorEastAsia"/>
                <w:noProof/>
                <w:lang w:eastAsia="en-GB"/>
              </w:rPr>
              <w:tab/>
            </w:r>
            <w:r w:rsidR="00774955" w:rsidRPr="003B14AD">
              <w:rPr>
                <w:rStyle w:val="Hipersaitas"/>
                <w:noProof/>
              </w:rPr>
              <w:t>Findings and conclusions from the technical expert review team for gridded data</w:t>
            </w:r>
            <w:r w:rsidR="00774955">
              <w:rPr>
                <w:noProof/>
                <w:webHidden/>
              </w:rPr>
              <w:tab/>
            </w:r>
            <w:r w:rsidR="00774955">
              <w:rPr>
                <w:noProof/>
                <w:webHidden/>
              </w:rPr>
              <w:fldChar w:fldCharType="begin"/>
            </w:r>
            <w:r w:rsidR="00774955">
              <w:rPr>
                <w:noProof/>
                <w:webHidden/>
              </w:rPr>
              <w:instrText xml:space="preserve"> PAGEREF _Toc53738310 \h </w:instrText>
            </w:r>
            <w:r w:rsidR="00774955">
              <w:rPr>
                <w:noProof/>
                <w:webHidden/>
              </w:rPr>
            </w:r>
            <w:r w:rsidR="00774955">
              <w:rPr>
                <w:noProof/>
                <w:webHidden/>
              </w:rPr>
              <w:fldChar w:fldCharType="separate"/>
            </w:r>
            <w:r w:rsidR="00774955">
              <w:rPr>
                <w:noProof/>
                <w:webHidden/>
              </w:rPr>
              <w:t>36</w:t>
            </w:r>
            <w:r w:rsidR="00774955">
              <w:rPr>
                <w:noProof/>
                <w:webHidden/>
              </w:rPr>
              <w:fldChar w:fldCharType="end"/>
            </w:r>
          </w:hyperlink>
        </w:p>
        <w:p w14:paraId="3AB445A6" w14:textId="6866E91F" w:rsidR="00774955" w:rsidRDefault="00C10978">
          <w:pPr>
            <w:pStyle w:val="Turinys1"/>
            <w:rPr>
              <w:rFonts w:eastAsiaTheme="minorEastAsia"/>
              <w:noProof/>
              <w:lang w:eastAsia="en-GB"/>
            </w:rPr>
          </w:pPr>
          <w:hyperlink w:anchor="_Toc53738311" w:history="1">
            <w:r w:rsidR="00774955" w:rsidRPr="003B14AD">
              <w:rPr>
                <w:rStyle w:val="Hipersaitas"/>
                <w:noProof/>
              </w:rPr>
              <w:t>IX.</w:t>
            </w:r>
            <w:r w:rsidR="00774955">
              <w:rPr>
                <w:rFonts w:eastAsiaTheme="minorEastAsia"/>
                <w:noProof/>
                <w:lang w:eastAsia="en-GB"/>
              </w:rPr>
              <w:tab/>
            </w:r>
            <w:r w:rsidR="00774955" w:rsidRPr="003B14AD">
              <w:rPr>
                <w:rStyle w:val="Hipersaitas"/>
                <w:noProof/>
              </w:rPr>
              <w:t>Effect of revised estimates, technical corrections and adjustments recommended to be approved on the national total and national total for compliance</w:t>
            </w:r>
            <w:r w:rsidR="00774955">
              <w:rPr>
                <w:noProof/>
                <w:webHidden/>
              </w:rPr>
              <w:tab/>
            </w:r>
            <w:r w:rsidR="00774955">
              <w:rPr>
                <w:noProof/>
                <w:webHidden/>
              </w:rPr>
              <w:fldChar w:fldCharType="begin"/>
            </w:r>
            <w:r w:rsidR="00774955">
              <w:rPr>
                <w:noProof/>
                <w:webHidden/>
              </w:rPr>
              <w:instrText xml:space="preserve"> PAGEREF _Toc53738311 \h </w:instrText>
            </w:r>
            <w:r w:rsidR="00774955">
              <w:rPr>
                <w:noProof/>
                <w:webHidden/>
              </w:rPr>
            </w:r>
            <w:r w:rsidR="00774955">
              <w:rPr>
                <w:noProof/>
                <w:webHidden/>
              </w:rPr>
              <w:fldChar w:fldCharType="separate"/>
            </w:r>
            <w:r w:rsidR="00774955">
              <w:rPr>
                <w:noProof/>
                <w:webHidden/>
              </w:rPr>
              <w:t>38</w:t>
            </w:r>
            <w:r w:rsidR="00774955">
              <w:rPr>
                <w:noProof/>
                <w:webHidden/>
              </w:rPr>
              <w:fldChar w:fldCharType="end"/>
            </w:r>
          </w:hyperlink>
        </w:p>
        <w:p w14:paraId="30E0CB12" w14:textId="02A1CE3C" w:rsidR="00774955" w:rsidRDefault="00C10978">
          <w:pPr>
            <w:pStyle w:val="Turinys1"/>
            <w:rPr>
              <w:rFonts w:eastAsiaTheme="minorEastAsia"/>
              <w:noProof/>
              <w:lang w:eastAsia="en-GB"/>
            </w:rPr>
          </w:pPr>
          <w:hyperlink w:anchor="_Toc53738312" w:history="1">
            <w:r w:rsidR="00774955" w:rsidRPr="003B14AD">
              <w:rPr>
                <w:rStyle w:val="Hipersaitas"/>
                <w:noProof/>
              </w:rPr>
              <w:t>X.</w:t>
            </w:r>
            <w:r w:rsidR="00774955">
              <w:rPr>
                <w:rFonts w:eastAsiaTheme="minorEastAsia"/>
                <w:noProof/>
                <w:lang w:eastAsia="en-GB"/>
              </w:rPr>
              <w:tab/>
            </w:r>
            <w:r w:rsidR="00774955" w:rsidRPr="003B14AD">
              <w:rPr>
                <w:rStyle w:val="Hipersaitas"/>
                <w:noProof/>
              </w:rPr>
              <w:t>Statement from Lithuania on the conclusions presented by the technical expert review team</w:t>
            </w:r>
            <w:r w:rsidR="00774955">
              <w:rPr>
                <w:noProof/>
                <w:webHidden/>
              </w:rPr>
              <w:tab/>
            </w:r>
            <w:r w:rsidR="00774955">
              <w:rPr>
                <w:noProof/>
                <w:webHidden/>
              </w:rPr>
              <w:fldChar w:fldCharType="begin"/>
            </w:r>
            <w:r w:rsidR="00774955">
              <w:rPr>
                <w:noProof/>
                <w:webHidden/>
              </w:rPr>
              <w:instrText xml:space="preserve"> PAGEREF _Toc53738312 \h </w:instrText>
            </w:r>
            <w:r w:rsidR="00774955">
              <w:rPr>
                <w:noProof/>
                <w:webHidden/>
              </w:rPr>
            </w:r>
            <w:r w:rsidR="00774955">
              <w:rPr>
                <w:noProof/>
                <w:webHidden/>
              </w:rPr>
              <w:fldChar w:fldCharType="separate"/>
            </w:r>
            <w:r w:rsidR="00774955">
              <w:rPr>
                <w:noProof/>
                <w:webHidden/>
              </w:rPr>
              <w:t>44</w:t>
            </w:r>
            <w:r w:rsidR="00774955">
              <w:rPr>
                <w:noProof/>
                <w:webHidden/>
              </w:rPr>
              <w:fldChar w:fldCharType="end"/>
            </w:r>
          </w:hyperlink>
        </w:p>
        <w:p w14:paraId="3ADB3C3E" w14:textId="79554EB8" w:rsidR="00774955" w:rsidRDefault="00C10978">
          <w:pPr>
            <w:pStyle w:val="Turinys1"/>
            <w:rPr>
              <w:rFonts w:eastAsiaTheme="minorEastAsia"/>
              <w:noProof/>
              <w:lang w:eastAsia="en-GB"/>
            </w:rPr>
          </w:pPr>
          <w:hyperlink w:anchor="_Toc53738313" w:history="1">
            <w:r w:rsidR="00774955" w:rsidRPr="003B14AD">
              <w:rPr>
                <w:rStyle w:val="Hipersaitas"/>
                <w:noProof/>
              </w:rPr>
              <w:t>XI.</w:t>
            </w:r>
            <w:r w:rsidR="00774955">
              <w:rPr>
                <w:rFonts w:eastAsiaTheme="minorEastAsia"/>
                <w:noProof/>
                <w:lang w:eastAsia="en-GB"/>
              </w:rPr>
              <w:tab/>
            </w:r>
            <w:r w:rsidR="00774955" w:rsidRPr="003B14AD">
              <w:rPr>
                <w:rStyle w:val="Hipersaitas"/>
                <w:noProof/>
              </w:rPr>
              <w:t>Technical expert review team response to the statement from Lithuania</w:t>
            </w:r>
            <w:r w:rsidR="00774955">
              <w:rPr>
                <w:noProof/>
                <w:webHidden/>
              </w:rPr>
              <w:tab/>
            </w:r>
            <w:r w:rsidR="00774955">
              <w:rPr>
                <w:noProof/>
                <w:webHidden/>
              </w:rPr>
              <w:fldChar w:fldCharType="begin"/>
            </w:r>
            <w:r w:rsidR="00774955">
              <w:rPr>
                <w:noProof/>
                <w:webHidden/>
              </w:rPr>
              <w:instrText xml:space="preserve"> PAGEREF _Toc53738313 \h </w:instrText>
            </w:r>
            <w:r w:rsidR="00774955">
              <w:rPr>
                <w:noProof/>
                <w:webHidden/>
              </w:rPr>
            </w:r>
            <w:r w:rsidR="00774955">
              <w:rPr>
                <w:noProof/>
                <w:webHidden/>
              </w:rPr>
              <w:fldChar w:fldCharType="separate"/>
            </w:r>
            <w:r w:rsidR="00774955">
              <w:rPr>
                <w:noProof/>
                <w:webHidden/>
              </w:rPr>
              <w:t>44</w:t>
            </w:r>
            <w:r w:rsidR="00774955">
              <w:rPr>
                <w:noProof/>
                <w:webHidden/>
              </w:rPr>
              <w:fldChar w:fldCharType="end"/>
            </w:r>
          </w:hyperlink>
        </w:p>
        <w:p w14:paraId="07A2F40A" w14:textId="03B1BBCC" w:rsidR="00774955" w:rsidRDefault="00C10978">
          <w:pPr>
            <w:pStyle w:val="Turinys1"/>
            <w:rPr>
              <w:rFonts w:eastAsiaTheme="minorEastAsia"/>
              <w:noProof/>
              <w:lang w:eastAsia="en-GB"/>
            </w:rPr>
          </w:pPr>
          <w:hyperlink w:anchor="_Toc53738314" w:history="1">
            <w:r w:rsidR="00774955" w:rsidRPr="003B14AD">
              <w:rPr>
                <w:rStyle w:val="Hipersaitas"/>
                <w:noProof/>
              </w:rPr>
              <w:t>ANNEX I - Technical corrections deemed necessary by the technical expert review team and revised estimates provided by Lithuania</w:t>
            </w:r>
            <w:r w:rsidR="00774955">
              <w:rPr>
                <w:noProof/>
                <w:webHidden/>
              </w:rPr>
              <w:tab/>
            </w:r>
            <w:r w:rsidR="00774955">
              <w:rPr>
                <w:noProof/>
                <w:webHidden/>
              </w:rPr>
              <w:fldChar w:fldCharType="begin"/>
            </w:r>
            <w:r w:rsidR="00774955">
              <w:rPr>
                <w:noProof/>
                <w:webHidden/>
              </w:rPr>
              <w:instrText xml:space="preserve"> PAGEREF _Toc53738314 \h </w:instrText>
            </w:r>
            <w:r w:rsidR="00774955">
              <w:rPr>
                <w:noProof/>
                <w:webHidden/>
              </w:rPr>
            </w:r>
            <w:r w:rsidR="00774955">
              <w:rPr>
                <w:noProof/>
                <w:webHidden/>
              </w:rPr>
              <w:fldChar w:fldCharType="separate"/>
            </w:r>
            <w:r w:rsidR="00774955">
              <w:rPr>
                <w:noProof/>
                <w:webHidden/>
              </w:rPr>
              <w:t>45</w:t>
            </w:r>
            <w:r w:rsidR="00774955">
              <w:rPr>
                <w:noProof/>
                <w:webHidden/>
              </w:rPr>
              <w:fldChar w:fldCharType="end"/>
            </w:r>
          </w:hyperlink>
        </w:p>
        <w:p w14:paraId="7CF08D93" w14:textId="1178CB20" w:rsidR="00C3671E" w:rsidRDefault="00AE4156" w:rsidP="00E3069C">
          <w:pPr>
            <w:pStyle w:val="Turinys1"/>
          </w:pPr>
          <w:r>
            <w:rPr>
              <w:b/>
              <w:bCs/>
              <w:noProof/>
            </w:rPr>
            <w:fldChar w:fldCharType="end"/>
          </w:r>
        </w:p>
      </w:sdtContent>
    </w:sdt>
    <w:p w14:paraId="33743B36" w14:textId="77777777" w:rsidR="0048506E" w:rsidRDefault="0048506E">
      <w:pPr>
        <w:rPr>
          <w:color w:val="2E74B5" w:themeColor="accent1" w:themeShade="BF"/>
          <w:sz w:val="32"/>
          <w:szCs w:val="32"/>
        </w:rPr>
      </w:pPr>
      <w:r>
        <w:rPr>
          <w:color w:val="2E74B5" w:themeColor="accent1" w:themeShade="BF"/>
          <w:sz w:val="32"/>
          <w:szCs w:val="32"/>
        </w:rPr>
        <w:br w:type="page"/>
      </w:r>
    </w:p>
    <w:p w14:paraId="0D10555F" w14:textId="77777777" w:rsidR="00DC5D3F" w:rsidRPr="00DC5D3F" w:rsidRDefault="00DC5D3F" w:rsidP="00E257A4">
      <w:pPr>
        <w:rPr>
          <w:color w:val="2E74B5" w:themeColor="accent1" w:themeShade="BF"/>
          <w:sz w:val="32"/>
        </w:rPr>
      </w:pPr>
      <w:r w:rsidRPr="00E26436">
        <w:rPr>
          <w:color w:val="2E74B5" w:themeColor="accent1" w:themeShade="BF"/>
          <w:sz w:val="32"/>
          <w:szCs w:val="32"/>
        </w:rPr>
        <w:lastRenderedPageBreak/>
        <w:t>List of tables</w:t>
      </w:r>
    </w:p>
    <w:p w14:paraId="6957E7EF" w14:textId="6B3B358A" w:rsidR="00774955" w:rsidRDefault="00AE4156">
      <w:pPr>
        <w:pStyle w:val="Iliustracijsraas"/>
        <w:rPr>
          <w:rFonts w:eastAsiaTheme="minorEastAsia"/>
          <w:lang w:eastAsia="en-GB"/>
        </w:rPr>
      </w:pPr>
      <w:r w:rsidRPr="006273D1">
        <w:fldChar w:fldCharType="begin"/>
      </w:r>
      <w:r w:rsidR="00DC5D3F" w:rsidRPr="006273D1">
        <w:instrText xml:space="preserve"> TOC \h \z \c "Table" </w:instrText>
      </w:r>
      <w:r w:rsidRPr="006273D1">
        <w:fldChar w:fldCharType="separate"/>
      </w:r>
      <w:hyperlink w:anchor="_Toc53738315" w:history="1">
        <w:r w:rsidR="00774955" w:rsidRPr="009B2CCC">
          <w:rPr>
            <w:rStyle w:val="Hipersaitas"/>
          </w:rPr>
          <w:t>Table 1: Scope of the NECD Review 2020 (under Directive (EU) 2016/2284)</w:t>
        </w:r>
        <w:r w:rsidR="00774955">
          <w:rPr>
            <w:webHidden/>
          </w:rPr>
          <w:tab/>
        </w:r>
        <w:r w:rsidR="00774955">
          <w:rPr>
            <w:webHidden/>
          </w:rPr>
          <w:fldChar w:fldCharType="begin"/>
        </w:r>
        <w:r w:rsidR="00774955">
          <w:rPr>
            <w:webHidden/>
          </w:rPr>
          <w:instrText xml:space="preserve"> PAGEREF _Toc53738315 \h </w:instrText>
        </w:r>
        <w:r w:rsidR="00774955">
          <w:rPr>
            <w:webHidden/>
          </w:rPr>
        </w:r>
        <w:r w:rsidR="00774955">
          <w:rPr>
            <w:webHidden/>
          </w:rPr>
          <w:fldChar w:fldCharType="separate"/>
        </w:r>
        <w:r w:rsidR="00774955">
          <w:rPr>
            <w:webHidden/>
          </w:rPr>
          <w:t>8</w:t>
        </w:r>
        <w:r w:rsidR="00774955">
          <w:rPr>
            <w:webHidden/>
          </w:rPr>
          <w:fldChar w:fldCharType="end"/>
        </w:r>
      </w:hyperlink>
    </w:p>
    <w:p w14:paraId="6C69BB46" w14:textId="22DF074F" w:rsidR="00774955" w:rsidRDefault="00C10978">
      <w:pPr>
        <w:pStyle w:val="Iliustracijsraas"/>
        <w:rPr>
          <w:rFonts w:eastAsiaTheme="minorEastAsia"/>
          <w:lang w:eastAsia="en-GB"/>
        </w:rPr>
      </w:pPr>
      <w:hyperlink w:anchor="_Toc53738316" w:history="1">
        <w:r w:rsidR="00774955" w:rsidRPr="009B2CCC">
          <w:rPr>
            <w:rStyle w:val="Hipersaitas"/>
          </w:rPr>
          <w:t>Table 2: Definitions for finding classifications of the NECD review.</w:t>
        </w:r>
        <w:r w:rsidR="00774955">
          <w:rPr>
            <w:webHidden/>
          </w:rPr>
          <w:tab/>
        </w:r>
        <w:r w:rsidR="00774955">
          <w:rPr>
            <w:webHidden/>
          </w:rPr>
          <w:fldChar w:fldCharType="begin"/>
        </w:r>
        <w:r w:rsidR="00774955">
          <w:rPr>
            <w:webHidden/>
          </w:rPr>
          <w:instrText xml:space="preserve"> PAGEREF _Toc53738316 \h </w:instrText>
        </w:r>
        <w:r w:rsidR="00774955">
          <w:rPr>
            <w:webHidden/>
          </w:rPr>
        </w:r>
        <w:r w:rsidR="00774955">
          <w:rPr>
            <w:webHidden/>
          </w:rPr>
          <w:fldChar w:fldCharType="separate"/>
        </w:r>
        <w:r w:rsidR="00774955">
          <w:rPr>
            <w:webHidden/>
          </w:rPr>
          <w:t>10</w:t>
        </w:r>
        <w:r w:rsidR="00774955">
          <w:rPr>
            <w:webHidden/>
          </w:rPr>
          <w:fldChar w:fldCharType="end"/>
        </w:r>
      </w:hyperlink>
    </w:p>
    <w:p w14:paraId="2F426B82" w14:textId="50A18051" w:rsidR="00774955" w:rsidRDefault="00C10978">
      <w:pPr>
        <w:pStyle w:val="Iliustracijsraas"/>
        <w:rPr>
          <w:rFonts w:eastAsiaTheme="minorEastAsia"/>
          <w:lang w:eastAsia="en-GB"/>
        </w:rPr>
      </w:pPr>
      <w:hyperlink w:anchor="_Toc53738317" w:history="1">
        <w:r w:rsidR="00774955" w:rsidRPr="009B2CCC">
          <w:rPr>
            <w:rStyle w:val="Hipersaitas"/>
          </w:rPr>
          <w:t>Table 3: Overview of the number of findings from the NECD Review 2020 and previous NECD reviews related to NO</w:t>
        </w:r>
        <w:r w:rsidR="00774955" w:rsidRPr="009B2CCC">
          <w:rPr>
            <w:rStyle w:val="Hipersaitas"/>
            <w:vertAlign w:val="subscript"/>
          </w:rPr>
          <w:t>X</w:t>
        </w:r>
        <w:r w:rsidR="00774955" w:rsidRPr="009B2CCC">
          <w:rPr>
            <w:rStyle w:val="Hipersaitas"/>
          </w:rPr>
          <w:t>, NMVOC, SO</w:t>
        </w:r>
        <w:r w:rsidR="00774955" w:rsidRPr="009B2CCC">
          <w:rPr>
            <w:rStyle w:val="Hipersaitas"/>
            <w:vertAlign w:val="subscript"/>
          </w:rPr>
          <w:t>2</w:t>
        </w:r>
        <w:r w:rsidR="00774955" w:rsidRPr="009B2CCC">
          <w:rPr>
            <w:rStyle w:val="Hipersaitas"/>
          </w:rPr>
          <w:t>, NH</w:t>
        </w:r>
        <w:r w:rsidR="00774955" w:rsidRPr="009B2CCC">
          <w:rPr>
            <w:rStyle w:val="Hipersaitas"/>
            <w:vertAlign w:val="subscript"/>
          </w:rPr>
          <w:t>3</w:t>
        </w:r>
        <w:r w:rsidR="00774955" w:rsidRPr="009B2CCC">
          <w:rPr>
            <w:rStyle w:val="Hipersaitas"/>
          </w:rPr>
          <w:t>, PM</w:t>
        </w:r>
        <w:r w:rsidR="00774955" w:rsidRPr="009B2CCC">
          <w:rPr>
            <w:rStyle w:val="Hipersaitas"/>
            <w:vertAlign w:val="subscript"/>
          </w:rPr>
          <w:t>2.5</w:t>
        </w:r>
        <w:r w:rsidR="00774955">
          <w:rPr>
            <w:webHidden/>
          </w:rPr>
          <w:tab/>
        </w:r>
        <w:r w:rsidR="00774955">
          <w:rPr>
            <w:webHidden/>
          </w:rPr>
          <w:fldChar w:fldCharType="begin"/>
        </w:r>
        <w:r w:rsidR="00774955">
          <w:rPr>
            <w:webHidden/>
          </w:rPr>
          <w:instrText xml:space="preserve"> PAGEREF _Toc53738317 \h </w:instrText>
        </w:r>
        <w:r w:rsidR="00774955">
          <w:rPr>
            <w:webHidden/>
          </w:rPr>
        </w:r>
        <w:r w:rsidR="00774955">
          <w:rPr>
            <w:webHidden/>
          </w:rPr>
          <w:fldChar w:fldCharType="separate"/>
        </w:r>
        <w:r w:rsidR="00774955">
          <w:rPr>
            <w:webHidden/>
          </w:rPr>
          <w:t>12</w:t>
        </w:r>
        <w:r w:rsidR="00774955">
          <w:rPr>
            <w:webHidden/>
          </w:rPr>
          <w:fldChar w:fldCharType="end"/>
        </w:r>
      </w:hyperlink>
    </w:p>
    <w:p w14:paraId="22233677" w14:textId="4D4AA2ED" w:rsidR="00774955" w:rsidRDefault="00C10978">
      <w:pPr>
        <w:pStyle w:val="Iliustracijsraas"/>
        <w:rPr>
          <w:rFonts w:eastAsiaTheme="minorEastAsia"/>
          <w:lang w:eastAsia="en-GB"/>
        </w:rPr>
      </w:pPr>
      <w:hyperlink w:anchor="_Toc53738318" w:history="1">
        <w:r w:rsidR="00774955" w:rsidRPr="009B2CCC">
          <w:rPr>
            <w:rStyle w:val="Hipersaitas"/>
          </w:rPr>
          <w:t>Table 4: All recommendations, revised estimates, technical corrections and unquantified potential technical corrections including those additionally made during the NECD Review 2020 and those not implemented from previous reviews, for NO</w:t>
        </w:r>
        <w:r w:rsidR="00774955" w:rsidRPr="009B2CCC">
          <w:rPr>
            <w:rStyle w:val="Hipersaitas"/>
            <w:vertAlign w:val="subscript"/>
          </w:rPr>
          <w:t>X</w:t>
        </w:r>
        <w:r w:rsidR="00774955" w:rsidRPr="009B2CCC">
          <w:rPr>
            <w:rStyle w:val="Hipersaitas"/>
          </w:rPr>
          <w:t>, NMVOC, SO</w:t>
        </w:r>
        <w:r w:rsidR="00774955" w:rsidRPr="009B2CCC">
          <w:rPr>
            <w:rStyle w:val="Hipersaitas"/>
            <w:vertAlign w:val="subscript"/>
          </w:rPr>
          <w:t>2</w:t>
        </w:r>
        <w:r w:rsidR="00774955" w:rsidRPr="009B2CCC">
          <w:rPr>
            <w:rStyle w:val="Hipersaitas"/>
          </w:rPr>
          <w:t>, NH</w:t>
        </w:r>
        <w:r w:rsidR="00774955" w:rsidRPr="009B2CCC">
          <w:rPr>
            <w:rStyle w:val="Hipersaitas"/>
            <w:vertAlign w:val="subscript"/>
          </w:rPr>
          <w:t>3</w:t>
        </w:r>
        <w:r w:rsidR="00774955" w:rsidRPr="009B2CCC">
          <w:rPr>
            <w:rStyle w:val="Hipersaitas"/>
          </w:rPr>
          <w:t>, PM</w:t>
        </w:r>
        <w:r w:rsidR="00774955" w:rsidRPr="009B2CCC">
          <w:rPr>
            <w:rStyle w:val="Hipersaitas"/>
            <w:vertAlign w:val="subscript"/>
          </w:rPr>
          <w:t>2.5</w:t>
        </w:r>
        <w:r w:rsidR="00774955">
          <w:rPr>
            <w:webHidden/>
          </w:rPr>
          <w:tab/>
        </w:r>
        <w:r w:rsidR="00774955">
          <w:rPr>
            <w:webHidden/>
          </w:rPr>
          <w:fldChar w:fldCharType="begin"/>
        </w:r>
        <w:r w:rsidR="00774955">
          <w:rPr>
            <w:webHidden/>
          </w:rPr>
          <w:instrText xml:space="preserve"> PAGEREF _Toc53738318 \h </w:instrText>
        </w:r>
        <w:r w:rsidR="00774955">
          <w:rPr>
            <w:webHidden/>
          </w:rPr>
        </w:r>
        <w:r w:rsidR="00774955">
          <w:rPr>
            <w:webHidden/>
          </w:rPr>
          <w:fldChar w:fldCharType="separate"/>
        </w:r>
        <w:r w:rsidR="00774955">
          <w:rPr>
            <w:webHidden/>
          </w:rPr>
          <w:t>13</w:t>
        </w:r>
        <w:r w:rsidR="00774955">
          <w:rPr>
            <w:webHidden/>
          </w:rPr>
          <w:fldChar w:fldCharType="end"/>
        </w:r>
      </w:hyperlink>
    </w:p>
    <w:p w14:paraId="3BED3DB6" w14:textId="0220929B" w:rsidR="00774955" w:rsidRDefault="00C10978">
      <w:pPr>
        <w:pStyle w:val="Iliustracijsraas"/>
        <w:rPr>
          <w:rFonts w:eastAsiaTheme="minorEastAsia"/>
          <w:lang w:eastAsia="en-GB"/>
        </w:rPr>
      </w:pPr>
      <w:hyperlink w:anchor="_Toc53738319" w:history="1">
        <w:r w:rsidR="00774955" w:rsidRPr="009B2CCC">
          <w:rPr>
            <w:rStyle w:val="Hipersaitas"/>
          </w:rPr>
          <w:t>Table 5: Overview of the number of findings from the NECD Review 2020 and previous NECD reviews related to POPs and HMs</w:t>
        </w:r>
        <w:r w:rsidR="00774955">
          <w:rPr>
            <w:webHidden/>
          </w:rPr>
          <w:tab/>
        </w:r>
        <w:r w:rsidR="00774955">
          <w:rPr>
            <w:webHidden/>
          </w:rPr>
          <w:fldChar w:fldCharType="begin"/>
        </w:r>
        <w:r w:rsidR="00774955">
          <w:rPr>
            <w:webHidden/>
          </w:rPr>
          <w:instrText xml:space="preserve"> PAGEREF _Toc53738319 \h </w:instrText>
        </w:r>
        <w:r w:rsidR="00774955">
          <w:rPr>
            <w:webHidden/>
          </w:rPr>
        </w:r>
        <w:r w:rsidR="00774955">
          <w:rPr>
            <w:webHidden/>
          </w:rPr>
          <w:fldChar w:fldCharType="separate"/>
        </w:r>
        <w:r w:rsidR="00774955">
          <w:rPr>
            <w:webHidden/>
          </w:rPr>
          <w:t>27</w:t>
        </w:r>
        <w:r w:rsidR="00774955">
          <w:rPr>
            <w:webHidden/>
          </w:rPr>
          <w:fldChar w:fldCharType="end"/>
        </w:r>
      </w:hyperlink>
    </w:p>
    <w:p w14:paraId="176537BA" w14:textId="1409A639" w:rsidR="00774955" w:rsidRDefault="00C10978">
      <w:pPr>
        <w:pStyle w:val="Iliustracijsraas"/>
        <w:rPr>
          <w:rFonts w:eastAsiaTheme="minorEastAsia"/>
          <w:lang w:eastAsia="en-GB"/>
        </w:rPr>
      </w:pPr>
      <w:hyperlink w:anchor="_Toc53738320" w:history="1">
        <w:r w:rsidR="00774955" w:rsidRPr="009B2CCC">
          <w:rPr>
            <w:rStyle w:val="Hipersaitas"/>
          </w:rPr>
          <w:t>Table 6: All recommendations, revised estimates, technical corrections and unquantified potential technical corrections  including those additionally made during the NECD Review 2020 and those not implemented from previous reviews, for heavy metals and POPs</w:t>
        </w:r>
        <w:r w:rsidR="00774955">
          <w:rPr>
            <w:webHidden/>
          </w:rPr>
          <w:tab/>
        </w:r>
        <w:r w:rsidR="00774955">
          <w:rPr>
            <w:webHidden/>
          </w:rPr>
          <w:fldChar w:fldCharType="begin"/>
        </w:r>
        <w:r w:rsidR="00774955">
          <w:rPr>
            <w:webHidden/>
          </w:rPr>
          <w:instrText xml:space="preserve"> PAGEREF _Toc53738320 \h </w:instrText>
        </w:r>
        <w:r w:rsidR="00774955">
          <w:rPr>
            <w:webHidden/>
          </w:rPr>
        </w:r>
        <w:r w:rsidR="00774955">
          <w:rPr>
            <w:webHidden/>
          </w:rPr>
          <w:fldChar w:fldCharType="separate"/>
        </w:r>
        <w:r w:rsidR="00774955">
          <w:rPr>
            <w:webHidden/>
          </w:rPr>
          <w:t>28</w:t>
        </w:r>
        <w:r w:rsidR="00774955">
          <w:rPr>
            <w:webHidden/>
          </w:rPr>
          <w:fldChar w:fldCharType="end"/>
        </w:r>
      </w:hyperlink>
    </w:p>
    <w:p w14:paraId="21178E6C" w14:textId="43F1A296" w:rsidR="00774955" w:rsidRDefault="00C10978">
      <w:pPr>
        <w:pStyle w:val="Iliustracijsraas"/>
        <w:rPr>
          <w:rFonts w:eastAsiaTheme="minorEastAsia"/>
          <w:lang w:eastAsia="en-GB"/>
        </w:rPr>
      </w:pPr>
      <w:hyperlink w:anchor="_Toc53738321" w:history="1">
        <w:r w:rsidR="00774955" w:rsidRPr="009B2CCC">
          <w:rPr>
            <w:rStyle w:val="Hipersaitas"/>
          </w:rPr>
          <w:t>Table 7: Overview of the number of findings from the NECD Review 2020 related to LPS data</w:t>
        </w:r>
        <w:r w:rsidR="00774955">
          <w:rPr>
            <w:webHidden/>
          </w:rPr>
          <w:tab/>
        </w:r>
        <w:r w:rsidR="00774955">
          <w:rPr>
            <w:webHidden/>
          </w:rPr>
          <w:fldChar w:fldCharType="begin"/>
        </w:r>
        <w:r w:rsidR="00774955">
          <w:rPr>
            <w:webHidden/>
          </w:rPr>
          <w:instrText xml:space="preserve"> PAGEREF _Toc53738321 \h </w:instrText>
        </w:r>
        <w:r w:rsidR="00774955">
          <w:rPr>
            <w:webHidden/>
          </w:rPr>
        </w:r>
        <w:r w:rsidR="00774955">
          <w:rPr>
            <w:webHidden/>
          </w:rPr>
          <w:fldChar w:fldCharType="separate"/>
        </w:r>
        <w:r w:rsidR="00774955">
          <w:rPr>
            <w:webHidden/>
          </w:rPr>
          <w:t>34</w:t>
        </w:r>
        <w:r w:rsidR="00774955">
          <w:rPr>
            <w:webHidden/>
          </w:rPr>
          <w:fldChar w:fldCharType="end"/>
        </w:r>
      </w:hyperlink>
    </w:p>
    <w:p w14:paraId="1FBF9363" w14:textId="3404AD98" w:rsidR="00774955" w:rsidRDefault="00C10978">
      <w:pPr>
        <w:pStyle w:val="Iliustracijsraas"/>
        <w:rPr>
          <w:rFonts w:eastAsiaTheme="minorEastAsia"/>
          <w:lang w:eastAsia="en-GB"/>
        </w:rPr>
      </w:pPr>
      <w:hyperlink w:anchor="_Toc53738322" w:history="1">
        <w:r w:rsidR="00774955" w:rsidRPr="009B2CCC">
          <w:rPr>
            <w:rStyle w:val="Hipersaitas"/>
          </w:rPr>
          <w:t>Table 8: All recommendations made during the NECD Review 2020 for LPS data</w:t>
        </w:r>
        <w:r w:rsidR="00774955">
          <w:rPr>
            <w:webHidden/>
          </w:rPr>
          <w:tab/>
        </w:r>
        <w:r w:rsidR="00774955">
          <w:rPr>
            <w:webHidden/>
          </w:rPr>
          <w:fldChar w:fldCharType="begin"/>
        </w:r>
        <w:r w:rsidR="00774955">
          <w:rPr>
            <w:webHidden/>
          </w:rPr>
          <w:instrText xml:space="preserve"> PAGEREF _Toc53738322 \h </w:instrText>
        </w:r>
        <w:r w:rsidR="00774955">
          <w:rPr>
            <w:webHidden/>
          </w:rPr>
        </w:r>
        <w:r w:rsidR="00774955">
          <w:rPr>
            <w:webHidden/>
          </w:rPr>
          <w:fldChar w:fldCharType="separate"/>
        </w:r>
        <w:r w:rsidR="00774955">
          <w:rPr>
            <w:webHidden/>
          </w:rPr>
          <w:t>35</w:t>
        </w:r>
        <w:r w:rsidR="00774955">
          <w:rPr>
            <w:webHidden/>
          </w:rPr>
          <w:fldChar w:fldCharType="end"/>
        </w:r>
      </w:hyperlink>
    </w:p>
    <w:p w14:paraId="138601C1" w14:textId="195D320D" w:rsidR="00774955" w:rsidRDefault="00C10978">
      <w:pPr>
        <w:pStyle w:val="Iliustracijsraas"/>
        <w:rPr>
          <w:rFonts w:eastAsiaTheme="minorEastAsia"/>
          <w:lang w:eastAsia="en-GB"/>
        </w:rPr>
      </w:pPr>
      <w:hyperlink w:anchor="_Toc53738323" w:history="1">
        <w:r w:rsidR="00774955" w:rsidRPr="009B2CCC">
          <w:rPr>
            <w:rStyle w:val="Hipersaitas"/>
          </w:rPr>
          <w:t>Table 9: Overview of the number of findings from the NECD review 2020 related to gridded data</w:t>
        </w:r>
        <w:r w:rsidR="00774955">
          <w:rPr>
            <w:webHidden/>
          </w:rPr>
          <w:tab/>
        </w:r>
        <w:r w:rsidR="00774955">
          <w:rPr>
            <w:webHidden/>
          </w:rPr>
          <w:fldChar w:fldCharType="begin"/>
        </w:r>
        <w:r w:rsidR="00774955">
          <w:rPr>
            <w:webHidden/>
          </w:rPr>
          <w:instrText xml:space="preserve"> PAGEREF _Toc53738323 \h </w:instrText>
        </w:r>
        <w:r w:rsidR="00774955">
          <w:rPr>
            <w:webHidden/>
          </w:rPr>
        </w:r>
        <w:r w:rsidR="00774955">
          <w:rPr>
            <w:webHidden/>
          </w:rPr>
          <w:fldChar w:fldCharType="separate"/>
        </w:r>
        <w:r w:rsidR="00774955">
          <w:rPr>
            <w:webHidden/>
          </w:rPr>
          <w:t>36</w:t>
        </w:r>
        <w:r w:rsidR="00774955">
          <w:rPr>
            <w:webHidden/>
          </w:rPr>
          <w:fldChar w:fldCharType="end"/>
        </w:r>
      </w:hyperlink>
    </w:p>
    <w:p w14:paraId="16FDF2DA" w14:textId="5C30DE86" w:rsidR="00774955" w:rsidRDefault="00C10978">
      <w:pPr>
        <w:pStyle w:val="Iliustracijsraas"/>
        <w:rPr>
          <w:rFonts w:eastAsiaTheme="minorEastAsia"/>
          <w:lang w:eastAsia="en-GB"/>
        </w:rPr>
      </w:pPr>
      <w:hyperlink w:anchor="_Toc53738324" w:history="1">
        <w:r w:rsidR="00774955" w:rsidRPr="009B2CCC">
          <w:rPr>
            <w:rStyle w:val="Hipersaitas"/>
          </w:rPr>
          <w:t>Table 10: All recommendations made during the NECD Review 2020 for gridded data</w:t>
        </w:r>
        <w:r w:rsidR="00774955">
          <w:rPr>
            <w:webHidden/>
          </w:rPr>
          <w:tab/>
        </w:r>
        <w:r w:rsidR="00774955">
          <w:rPr>
            <w:webHidden/>
          </w:rPr>
          <w:fldChar w:fldCharType="begin"/>
        </w:r>
        <w:r w:rsidR="00774955">
          <w:rPr>
            <w:webHidden/>
          </w:rPr>
          <w:instrText xml:space="preserve"> PAGEREF _Toc53738324 \h </w:instrText>
        </w:r>
        <w:r w:rsidR="00774955">
          <w:rPr>
            <w:webHidden/>
          </w:rPr>
        </w:r>
        <w:r w:rsidR="00774955">
          <w:rPr>
            <w:webHidden/>
          </w:rPr>
          <w:fldChar w:fldCharType="separate"/>
        </w:r>
        <w:r w:rsidR="00774955">
          <w:rPr>
            <w:webHidden/>
          </w:rPr>
          <w:t>37</w:t>
        </w:r>
        <w:r w:rsidR="00774955">
          <w:rPr>
            <w:webHidden/>
          </w:rPr>
          <w:fldChar w:fldCharType="end"/>
        </w:r>
      </w:hyperlink>
    </w:p>
    <w:p w14:paraId="275A4F57" w14:textId="444B0B12" w:rsidR="00774955" w:rsidRDefault="00C10978">
      <w:pPr>
        <w:pStyle w:val="Iliustracijsraas"/>
        <w:rPr>
          <w:rFonts w:eastAsiaTheme="minorEastAsia"/>
          <w:lang w:eastAsia="en-GB"/>
        </w:rPr>
      </w:pPr>
      <w:hyperlink w:anchor="_Toc53738325" w:history="1">
        <w:r w:rsidR="00774955" w:rsidRPr="009B2CCC">
          <w:rPr>
            <w:rStyle w:val="Hipersaitas"/>
          </w:rPr>
          <w:t>Table 11: National totals as reported and national totals including revised estimates (RE) and technical corrections (TC) for NO</w:t>
        </w:r>
        <w:r w:rsidR="00774955" w:rsidRPr="009B2CCC">
          <w:rPr>
            <w:rStyle w:val="Hipersaitas"/>
            <w:vertAlign w:val="subscript"/>
          </w:rPr>
          <w:t>X</w:t>
        </w:r>
        <w:r w:rsidR="00774955" w:rsidRPr="009B2CCC">
          <w:rPr>
            <w:rStyle w:val="Hipersaitas"/>
          </w:rPr>
          <w:t>, NMVOC, SO</w:t>
        </w:r>
        <w:r w:rsidR="00774955" w:rsidRPr="009B2CCC">
          <w:rPr>
            <w:rStyle w:val="Hipersaitas"/>
            <w:vertAlign w:val="subscript"/>
          </w:rPr>
          <w:t>2</w:t>
        </w:r>
        <w:r w:rsidR="00774955" w:rsidRPr="009B2CCC">
          <w:rPr>
            <w:rStyle w:val="Hipersaitas"/>
          </w:rPr>
          <w:t>, NH</w:t>
        </w:r>
        <w:r w:rsidR="00774955" w:rsidRPr="009B2CCC">
          <w:rPr>
            <w:rStyle w:val="Hipersaitas"/>
            <w:vertAlign w:val="subscript"/>
          </w:rPr>
          <w:t>3</w:t>
        </w:r>
        <w:r w:rsidR="00774955" w:rsidRPr="009B2CCC">
          <w:rPr>
            <w:rStyle w:val="Hipersaitas"/>
          </w:rPr>
          <w:t>, PM</w:t>
        </w:r>
        <w:r w:rsidR="00774955" w:rsidRPr="009B2CCC">
          <w:rPr>
            <w:rStyle w:val="Hipersaitas"/>
            <w:vertAlign w:val="subscript"/>
          </w:rPr>
          <w:t xml:space="preserve">2.5 </w:t>
        </w:r>
        <w:r w:rsidR="00774955" w:rsidRPr="009B2CCC">
          <w:rPr>
            <w:rStyle w:val="Hipersaitas"/>
          </w:rPr>
          <w:t xml:space="preserve"> and National Emission Ceilings </w:t>
        </w:r>
        <w:r w:rsidR="00774955">
          <w:rPr>
            <w:webHidden/>
          </w:rPr>
          <w:tab/>
        </w:r>
        <w:r w:rsidR="00774955">
          <w:rPr>
            <w:webHidden/>
          </w:rPr>
          <w:fldChar w:fldCharType="begin"/>
        </w:r>
        <w:r w:rsidR="00774955">
          <w:rPr>
            <w:webHidden/>
          </w:rPr>
          <w:instrText xml:space="preserve"> PAGEREF _Toc53738325 \h </w:instrText>
        </w:r>
        <w:r w:rsidR="00774955">
          <w:rPr>
            <w:webHidden/>
          </w:rPr>
        </w:r>
        <w:r w:rsidR="00774955">
          <w:rPr>
            <w:webHidden/>
          </w:rPr>
          <w:fldChar w:fldCharType="separate"/>
        </w:r>
        <w:r w:rsidR="00774955">
          <w:rPr>
            <w:webHidden/>
          </w:rPr>
          <w:t>38</w:t>
        </w:r>
        <w:r w:rsidR="00774955">
          <w:rPr>
            <w:webHidden/>
          </w:rPr>
          <w:fldChar w:fldCharType="end"/>
        </w:r>
      </w:hyperlink>
    </w:p>
    <w:p w14:paraId="4EA294A5" w14:textId="0DA1AB41" w:rsidR="00774955" w:rsidRDefault="00C10978">
      <w:pPr>
        <w:pStyle w:val="Iliustracijsraas"/>
        <w:rPr>
          <w:rFonts w:eastAsiaTheme="minorEastAsia"/>
          <w:lang w:eastAsia="en-GB"/>
        </w:rPr>
      </w:pPr>
      <w:hyperlink w:anchor="_Toc53738326" w:history="1">
        <w:r w:rsidR="00774955" w:rsidRPr="009B2CCC">
          <w:rPr>
            <w:rStyle w:val="Hipersaitas"/>
          </w:rPr>
          <w:t xml:space="preserve">Table 12: National totals as reported and national totals including revised estimates (RE) and technical corrections (TC) for PAHs (total PAHs and benzo(a)pyrene), dioxins/furans, PCBs, HCB, Cd, Hg and Pb </w:t>
        </w:r>
        <w:r w:rsidR="00774955">
          <w:rPr>
            <w:webHidden/>
          </w:rPr>
          <w:tab/>
        </w:r>
        <w:r w:rsidR="00774955">
          <w:rPr>
            <w:webHidden/>
          </w:rPr>
          <w:fldChar w:fldCharType="begin"/>
        </w:r>
        <w:r w:rsidR="00774955">
          <w:rPr>
            <w:webHidden/>
          </w:rPr>
          <w:instrText xml:space="preserve"> PAGEREF _Toc53738326 \h </w:instrText>
        </w:r>
        <w:r w:rsidR="00774955">
          <w:rPr>
            <w:webHidden/>
          </w:rPr>
        </w:r>
        <w:r w:rsidR="00774955">
          <w:rPr>
            <w:webHidden/>
          </w:rPr>
          <w:fldChar w:fldCharType="separate"/>
        </w:r>
        <w:r w:rsidR="00774955">
          <w:rPr>
            <w:webHidden/>
          </w:rPr>
          <w:t>41</w:t>
        </w:r>
        <w:r w:rsidR="00774955">
          <w:rPr>
            <w:webHidden/>
          </w:rPr>
          <w:fldChar w:fldCharType="end"/>
        </w:r>
      </w:hyperlink>
    </w:p>
    <w:p w14:paraId="5D53CB00" w14:textId="4E2D6830" w:rsidR="0048506E" w:rsidRPr="006273D1" w:rsidRDefault="00AE4156" w:rsidP="006273D1">
      <w:pPr>
        <w:spacing w:after="120" w:line="360" w:lineRule="auto"/>
      </w:pPr>
      <w:r w:rsidRPr="006273D1">
        <w:fldChar w:fldCharType="end"/>
      </w:r>
    </w:p>
    <w:p w14:paraId="729F9C5C" w14:textId="77777777" w:rsidR="0048506E" w:rsidRPr="006273D1" w:rsidRDefault="0048506E" w:rsidP="006273D1">
      <w:pPr>
        <w:spacing w:line="360" w:lineRule="auto"/>
      </w:pPr>
      <w:r w:rsidRPr="006273D1">
        <w:br w:type="page"/>
      </w:r>
    </w:p>
    <w:p w14:paraId="703E5BB2" w14:textId="77777777" w:rsidR="00830BFB" w:rsidRPr="006273D1" w:rsidRDefault="00830BFB" w:rsidP="00B34B14">
      <w:pPr>
        <w:rPr>
          <w:color w:val="2E74B5" w:themeColor="accent1" w:themeShade="BF"/>
          <w:sz w:val="32"/>
        </w:rPr>
      </w:pPr>
      <w:r w:rsidRPr="006273D1">
        <w:rPr>
          <w:color w:val="2E74B5" w:themeColor="accent1" w:themeShade="BF"/>
          <w:sz w:val="32"/>
        </w:rPr>
        <w:t>Abbreviations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160"/>
      </w:tblGrid>
      <w:tr w:rsidR="00F12483" w14:paraId="3F4F6B54" w14:textId="77777777" w:rsidTr="00E57FD9">
        <w:trPr>
          <w:trHeight w:val="360"/>
        </w:trPr>
        <w:tc>
          <w:tcPr>
            <w:tcW w:w="1560" w:type="dxa"/>
          </w:tcPr>
          <w:p w14:paraId="2350B99F" w14:textId="77777777" w:rsidR="00F12483" w:rsidRDefault="00F12483" w:rsidP="0021221A">
            <w:pPr>
              <w:spacing w:before="40" w:after="40"/>
              <w:ind w:left="100" w:right="100"/>
            </w:pPr>
            <w:r>
              <w:rPr>
                <w:rFonts w:ascii="Calibri" w:eastAsia="Calibri" w:hAnsi="Calibri" w:cs="Calibri"/>
                <w:color w:val="111111"/>
              </w:rPr>
              <w:t>AD</w:t>
            </w:r>
          </w:p>
        </w:tc>
        <w:tc>
          <w:tcPr>
            <w:tcW w:w="7160" w:type="dxa"/>
          </w:tcPr>
          <w:p w14:paraId="6AEDC946" w14:textId="77777777" w:rsidR="00F12483" w:rsidRDefault="00F12483" w:rsidP="005F7955">
            <w:pPr>
              <w:spacing w:before="40" w:after="40"/>
              <w:ind w:left="170" w:right="100"/>
            </w:pPr>
            <w:r>
              <w:rPr>
                <w:rFonts w:ascii="Calibri" w:eastAsia="Calibri" w:hAnsi="Calibri" w:cs="Calibri"/>
                <w:color w:val="111111"/>
              </w:rPr>
              <w:t>Activity data</w:t>
            </w:r>
          </w:p>
        </w:tc>
      </w:tr>
      <w:tr w:rsidR="00F12483" w14:paraId="7299E9B3" w14:textId="77777777" w:rsidTr="00E57FD9">
        <w:trPr>
          <w:trHeight w:val="360"/>
        </w:trPr>
        <w:tc>
          <w:tcPr>
            <w:tcW w:w="1560" w:type="dxa"/>
          </w:tcPr>
          <w:p w14:paraId="64D55ABE" w14:textId="77777777" w:rsidR="00F12483" w:rsidRDefault="00F12483" w:rsidP="0021221A">
            <w:pPr>
              <w:spacing w:before="40" w:after="40"/>
              <w:ind w:left="100" w:right="100"/>
              <w:rPr>
                <w:rFonts w:ascii="Calibri" w:eastAsia="Calibri" w:hAnsi="Calibri" w:cs="Calibri"/>
                <w:color w:val="111111"/>
              </w:rPr>
            </w:pPr>
            <w:r>
              <w:rPr>
                <w:rFonts w:ascii="Calibri" w:eastAsia="Calibri" w:hAnsi="Calibri" w:cs="Calibri"/>
                <w:color w:val="111111"/>
              </w:rPr>
              <w:t>C</w:t>
            </w:r>
          </w:p>
        </w:tc>
        <w:tc>
          <w:tcPr>
            <w:tcW w:w="7160" w:type="dxa"/>
          </w:tcPr>
          <w:p w14:paraId="68071412" w14:textId="77777777" w:rsidR="00F12483" w:rsidRDefault="00F12483" w:rsidP="005F7955">
            <w:pPr>
              <w:spacing w:before="40" w:after="40"/>
              <w:ind w:left="170" w:right="100"/>
              <w:rPr>
                <w:rFonts w:ascii="Calibri" w:eastAsia="Calibri" w:hAnsi="Calibri" w:cs="Calibri"/>
                <w:color w:val="111111"/>
              </w:rPr>
            </w:pPr>
            <w:r>
              <w:rPr>
                <w:rFonts w:ascii="Calibri" w:eastAsia="Calibri" w:hAnsi="Calibri" w:cs="Calibri"/>
                <w:color w:val="111111"/>
              </w:rPr>
              <w:t>Confidential</w:t>
            </w:r>
          </w:p>
        </w:tc>
      </w:tr>
      <w:tr w:rsidR="00F12483" w14:paraId="64AEFA07" w14:textId="77777777" w:rsidTr="00E57FD9">
        <w:trPr>
          <w:trHeight w:val="360"/>
        </w:trPr>
        <w:tc>
          <w:tcPr>
            <w:tcW w:w="1560" w:type="dxa"/>
          </w:tcPr>
          <w:p w14:paraId="15A77F33" w14:textId="77777777" w:rsidR="00F12483" w:rsidRDefault="00F12483" w:rsidP="0021221A">
            <w:pPr>
              <w:spacing w:before="40" w:after="40"/>
              <w:ind w:left="100" w:right="100"/>
              <w:rPr>
                <w:rFonts w:ascii="Calibri" w:eastAsia="Calibri" w:hAnsi="Calibri" w:cs="Calibri"/>
                <w:color w:val="111111"/>
              </w:rPr>
            </w:pPr>
            <w:r>
              <w:rPr>
                <w:rFonts w:ascii="Calibri" w:eastAsia="Calibri" w:hAnsi="Calibri" w:cs="Calibri"/>
                <w:color w:val="111111"/>
              </w:rPr>
              <w:t>Cd</w:t>
            </w:r>
          </w:p>
        </w:tc>
        <w:tc>
          <w:tcPr>
            <w:tcW w:w="7160" w:type="dxa"/>
          </w:tcPr>
          <w:p w14:paraId="55C79514" w14:textId="77777777" w:rsidR="00F12483" w:rsidRDefault="00F12483" w:rsidP="005F7955">
            <w:pPr>
              <w:spacing w:before="40" w:after="40"/>
              <w:ind w:left="170" w:right="100"/>
              <w:rPr>
                <w:rFonts w:ascii="Calibri" w:eastAsia="Calibri" w:hAnsi="Calibri" w:cs="Calibri"/>
                <w:color w:val="111111"/>
              </w:rPr>
            </w:pPr>
            <w:r>
              <w:rPr>
                <w:rFonts w:ascii="Calibri" w:eastAsia="Calibri" w:hAnsi="Calibri" w:cs="Calibri"/>
                <w:color w:val="111111"/>
              </w:rPr>
              <w:t>Cadmium</w:t>
            </w:r>
          </w:p>
        </w:tc>
      </w:tr>
      <w:tr w:rsidR="00F12483" w14:paraId="65F1E5EC" w14:textId="77777777" w:rsidTr="00E57FD9">
        <w:trPr>
          <w:trHeight w:val="360"/>
        </w:trPr>
        <w:tc>
          <w:tcPr>
            <w:tcW w:w="1560" w:type="dxa"/>
          </w:tcPr>
          <w:p w14:paraId="27BACF9D" w14:textId="77777777" w:rsidR="00F12483" w:rsidRDefault="00F12483" w:rsidP="0021221A">
            <w:pPr>
              <w:spacing w:before="40" w:after="40"/>
              <w:ind w:left="100" w:right="100"/>
            </w:pPr>
            <w:r>
              <w:rPr>
                <w:rFonts w:ascii="Calibri" w:eastAsia="Calibri" w:hAnsi="Calibri" w:cs="Calibri"/>
                <w:color w:val="111111"/>
              </w:rPr>
              <w:t>CLRTAP</w:t>
            </w:r>
          </w:p>
        </w:tc>
        <w:tc>
          <w:tcPr>
            <w:tcW w:w="7160" w:type="dxa"/>
          </w:tcPr>
          <w:p w14:paraId="44BB712F" w14:textId="77777777" w:rsidR="00F12483" w:rsidRDefault="00F12483" w:rsidP="005F7955">
            <w:pPr>
              <w:ind w:left="170"/>
            </w:pPr>
            <w:r>
              <w:rPr>
                <w:rFonts w:ascii="Calibri" w:eastAsia="Calibri" w:hAnsi="Calibri" w:cs="Calibri"/>
                <w:color w:val="111111"/>
              </w:rPr>
              <w:t xml:space="preserve">Convention on Long-range Transboundary Air Pollution: </w:t>
            </w:r>
            <w:r w:rsidRPr="00AF741F">
              <w:t>the first international treaty to deal with air poll</w:t>
            </w:r>
            <w:r>
              <w:t xml:space="preserve">ution on a broad regional basis </w:t>
            </w:r>
            <w:r w:rsidRPr="00AF741F">
              <w:t xml:space="preserve">signed </w:t>
            </w:r>
            <w:r>
              <w:t xml:space="preserve">by </w:t>
            </w:r>
            <w:r w:rsidRPr="00AF741F">
              <w:t xml:space="preserve">the UNECE </w:t>
            </w:r>
            <w:r>
              <w:t>in 1979.</w:t>
            </w:r>
          </w:p>
        </w:tc>
      </w:tr>
      <w:tr w:rsidR="00F12483" w14:paraId="2511A4BB" w14:textId="77777777" w:rsidTr="00E57FD9">
        <w:trPr>
          <w:trHeight w:val="360"/>
        </w:trPr>
        <w:tc>
          <w:tcPr>
            <w:tcW w:w="1560" w:type="dxa"/>
          </w:tcPr>
          <w:p w14:paraId="0C0E8460" w14:textId="77777777" w:rsidR="00F12483" w:rsidRDefault="00F12483" w:rsidP="0021221A">
            <w:pPr>
              <w:spacing w:before="40" w:after="40"/>
              <w:ind w:left="100" w:right="100"/>
            </w:pPr>
            <w:r>
              <w:rPr>
                <w:rFonts w:ascii="Calibri" w:eastAsia="Calibri" w:hAnsi="Calibri" w:cs="Calibri"/>
                <w:color w:val="111111"/>
              </w:rPr>
              <w:t>E-PRTR</w:t>
            </w:r>
          </w:p>
        </w:tc>
        <w:tc>
          <w:tcPr>
            <w:tcW w:w="7160" w:type="dxa"/>
          </w:tcPr>
          <w:p w14:paraId="23F91119" w14:textId="77777777" w:rsidR="00F12483" w:rsidRDefault="00F12483" w:rsidP="005F7955">
            <w:pPr>
              <w:spacing w:before="40" w:after="40"/>
              <w:ind w:left="170" w:right="100"/>
            </w:pPr>
            <w:r>
              <w:rPr>
                <w:rFonts w:ascii="Calibri" w:eastAsia="Calibri" w:hAnsi="Calibri" w:cs="Calibri"/>
                <w:color w:val="111111"/>
              </w:rPr>
              <w:t>European Pollutant Release and Transfer Register</w:t>
            </w:r>
          </w:p>
        </w:tc>
      </w:tr>
      <w:tr w:rsidR="00F12483" w14:paraId="6E9BAF62" w14:textId="77777777" w:rsidTr="00E57FD9">
        <w:trPr>
          <w:trHeight w:val="360"/>
        </w:trPr>
        <w:tc>
          <w:tcPr>
            <w:tcW w:w="1560" w:type="dxa"/>
          </w:tcPr>
          <w:p w14:paraId="30E959B3" w14:textId="77777777" w:rsidR="00F12483" w:rsidRDefault="00F12483" w:rsidP="0021221A">
            <w:pPr>
              <w:spacing w:before="40" w:after="40"/>
              <w:ind w:left="100" w:right="100"/>
            </w:pPr>
            <w:r>
              <w:rPr>
                <w:rFonts w:ascii="Calibri" w:eastAsia="Calibri" w:hAnsi="Calibri" w:cs="Calibri"/>
                <w:color w:val="111111"/>
              </w:rPr>
              <w:t>EC</w:t>
            </w:r>
          </w:p>
        </w:tc>
        <w:tc>
          <w:tcPr>
            <w:tcW w:w="7160" w:type="dxa"/>
          </w:tcPr>
          <w:p w14:paraId="0322F19C" w14:textId="77777777" w:rsidR="00F12483" w:rsidRDefault="00F12483" w:rsidP="005F7955">
            <w:pPr>
              <w:spacing w:before="40" w:after="40"/>
              <w:ind w:left="170" w:right="100"/>
            </w:pPr>
            <w:r>
              <w:rPr>
                <w:rFonts w:ascii="Calibri" w:eastAsia="Calibri" w:hAnsi="Calibri" w:cs="Calibri"/>
                <w:color w:val="111111"/>
              </w:rPr>
              <w:t>European Commission</w:t>
            </w:r>
          </w:p>
        </w:tc>
      </w:tr>
      <w:tr w:rsidR="00F12483" w14:paraId="2587F00A" w14:textId="77777777" w:rsidTr="00E57FD9">
        <w:trPr>
          <w:trHeight w:val="360"/>
        </w:trPr>
        <w:tc>
          <w:tcPr>
            <w:tcW w:w="1560" w:type="dxa"/>
          </w:tcPr>
          <w:p w14:paraId="65A427E8" w14:textId="77777777" w:rsidR="00F12483" w:rsidRDefault="00F12483" w:rsidP="0021221A">
            <w:pPr>
              <w:spacing w:before="40" w:after="40"/>
              <w:ind w:left="100" w:right="100"/>
            </w:pPr>
            <w:r>
              <w:rPr>
                <w:rFonts w:ascii="Calibri" w:eastAsia="Calibri" w:hAnsi="Calibri" w:cs="Calibri"/>
                <w:color w:val="111111"/>
              </w:rPr>
              <w:t>EEA</w:t>
            </w:r>
          </w:p>
        </w:tc>
        <w:tc>
          <w:tcPr>
            <w:tcW w:w="7160" w:type="dxa"/>
          </w:tcPr>
          <w:p w14:paraId="659BD003" w14:textId="77777777" w:rsidR="00F12483" w:rsidRDefault="00F12483" w:rsidP="005F7955">
            <w:pPr>
              <w:spacing w:before="40" w:after="40"/>
              <w:ind w:left="170" w:right="100"/>
            </w:pPr>
            <w:r>
              <w:rPr>
                <w:rFonts w:ascii="Calibri" w:eastAsia="Calibri" w:hAnsi="Calibri" w:cs="Calibri"/>
                <w:color w:val="111111"/>
              </w:rPr>
              <w:t>European Environment Agency</w:t>
            </w:r>
          </w:p>
        </w:tc>
      </w:tr>
      <w:tr w:rsidR="00F12483" w14:paraId="3F9C5FF4" w14:textId="77777777" w:rsidTr="00E57FD9">
        <w:trPr>
          <w:trHeight w:val="360"/>
        </w:trPr>
        <w:tc>
          <w:tcPr>
            <w:tcW w:w="1560" w:type="dxa"/>
          </w:tcPr>
          <w:p w14:paraId="6B106727" w14:textId="77777777" w:rsidR="00F12483" w:rsidRDefault="00F12483" w:rsidP="0021221A">
            <w:pPr>
              <w:spacing w:before="40" w:after="40"/>
              <w:ind w:left="100" w:right="100"/>
            </w:pPr>
            <w:r>
              <w:rPr>
                <w:rFonts w:ascii="Calibri" w:eastAsia="Calibri" w:hAnsi="Calibri" w:cs="Calibri"/>
                <w:color w:val="111111"/>
              </w:rPr>
              <w:t>EF</w:t>
            </w:r>
          </w:p>
        </w:tc>
        <w:tc>
          <w:tcPr>
            <w:tcW w:w="7160" w:type="dxa"/>
          </w:tcPr>
          <w:p w14:paraId="6F5233DC" w14:textId="77777777" w:rsidR="00F12483" w:rsidRDefault="00F12483" w:rsidP="005F7955">
            <w:pPr>
              <w:spacing w:before="40" w:after="40"/>
              <w:ind w:left="170" w:right="100"/>
            </w:pPr>
            <w:r>
              <w:rPr>
                <w:rFonts w:ascii="Calibri" w:eastAsia="Calibri" w:hAnsi="Calibri" w:cs="Calibri"/>
                <w:color w:val="111111"/>
              </w:rPr>
              <w:t>Emission factor</w:t>
            </w:r>
          </w:p>
        </w:tc>
      </w:tr>
      <w:tr w:rsidR="005F7955" w14:paraId="3130CCEB" w14:textId="77777777" w:rsidTr="00E57FD9">
        <w:trPr>
          <w:trHeight w:val="360"/>
        </w:trPr>
        <w:tc>
          <w:tcPr>
            <w:tcW w:w="1560" w:type="dxa"/>
          </w:tcPr>
          <w:p w14:paraId="6D19F62B" w14:textId="77777777" w:rsidR="005F7955" w:rsidRDefault="005F7955" w:rsidP="0021221A">
            <w:pPr>
              <w:spacing w:before="40" w:after="40"/>
              <w:ind w:left="100" w:right="100"/>
              <w:rPr>
                <w:rFonts w:ascii="Calibri" w:eastAsia="Calibri" w:hAnsi="Calibri" w:cs="Calibri"/>
                <w:color w:val="111111"/>
              </w:rPr>
            </w:pPr>
            <w:r>
              <w:rPr>
                <w:rFonts w:ascii="Calibri" w:eastAsia="Calibri" w:hAnsi="Calibri" w:cs="Calibri"/>
                <w:color w:val="111111"/>
              </w:rPr>
              <w:t>EIONET</w:t>
            </w:r>
          </w:p>
        </w:tc>
        <w:tc>
          <w:tcPr>
            <w:tcW w:w="7160" w:type="dxa"/>
          </w:tcPr>
          <w:p w14:paraId="1805CA5B" w14:textId="77777777" w:rsidR="005F7955" w:rsidRDefault="005F7955" w:rsidP="005F7955">
            <w:pPr>
              <w:spacing w:before="40" w:after="40"/>
              <w:ind w:left="170" w:right="100"/>
              <w:rPr>
                <w:rFonts w:ascii="Calibri" w:eastAsia="Calibri" w:hAnsi="Calibri" w:cs="Calibri"/>
                <w:color w:val="111111"/>
              </w:rPr>
            </w:pPr>
            <w:r>
              <w:t>European Environment Information and Observation Network</w:t>
            </w:r>
          </w:p>
        </w:tc>
      </w:tr>
      <w:tr w:rsidR="005F7955" w14:paraId="624C156D" w14:textId="77777777" w:rsidTr="00E57FD9">
        <w:trPr>
          <w:trHeight w:val="360"/>
        </w:trPr>
        <w:tc>
          <w:tcPr>
            <w:tcW w:w="1560" w:type="dxa"/>
          </w:tcPr>
          <w:p w14:paraId="38320E44" w14:textId="77777777" w:rsidR="005F7955" w:rsidRDefault="005F7955" w:rsidP="0021221A">
            <w:pPr>
              <w:spacing w:before="40" w:after="40"/>
              <w:ind w:left="100" w:right="100"/>
              <w:rPr>
                <w:rFonts w:ascii="Calibri" w:eastAsia="Calibri" w:hAnsi="Calibri" w:cs="Calibri"/>
                <w:color w:val="111111"/>
              </w:rPr>
            </w:pPr>
            <w:r>
              <w:rPr>
                <w:rFonts w:ascii="Calibri" w:eastAsia="Calibri" w:hAnsi="Calibri" w:cs="Calibri"/>
                <w:color w:val="111111"/>
              </w:rPr>
              <w:t>EMEP</w:t>
            </w:r>
          </w:p>
        </w:tc>
        <w:tc>
          <w:tcPr>
            <w:tcW w:w="7160" w:type="dxa"/>
          </w:tcPr>
          <w:p w14:paraId="735A17B3" w14:textId="77777777" w:rsidR="005F7955" w:rsidRDefault="005F7955" w:rsidP="005F7955">
            <w:pPr>
              <w:ind w:left="170"/>
            </w:pPr>
            <w:r>
              <w:t>The co-operative programme for monitoring and evaluation of the long-range transmission of air pollutants in Europe (</w:t>
            </w:r>
            <w:r w:rsidR="00D40AE9">
              <w:t>unofficially</w:t>
            </w:r>
            <w:r>
              <w:t xml:space="preserve"> 'European Monitoring and Evaluation Programme' = EMEP)</w:t>
            </w:r>
          </w:p>
        </w:tc>
      </w:tr>
      <w:tr w:rsidR="00F351E2" w14:paraId="60BD87A3" w14:textId="77777777" w:rsidTr="00E57FD9">
        <w:trPr>
          <w:trHeight w:val="360"/>
        </w:trPr>
        <w:tc>
          <w:tcPr>
            <w:tcW w:w="1560" w:type="dxa"/>
          </w:tcPr>
          <w:p w14:paraId="1BDEE9EA" w14:textId="77777777" w:rsidR="00F351E2" w:rsidRDefault="00F351E2" w:rsidP="00F351E2">
            <w:pPr>
              <w:spacing w:before="40" w:after="40"/>
              <w:ind w:left="100" w:right="100"/>
            </w:pPr>
            <w:r>
              <w:rPr>
                <w:rFonts w:ascii="Calibri" w:eastAsia="Calibri" w:hAnsi="Calibri" w:cs="Calibri"/>
                <w:color w:val="111111"/>
              </w:rPr>
              <w:t>EMRT-NECD</w:t>
            </w:r>
          </w:p>
        </w:tc>
        <w:tc>
          <w:tcPr>
            <w:tcW w:w="7160" w:type="dxa"/>
          </w:tcPr>
          <w:p w14:paraId="51C07E63" w14:textId="308EA380" w:rsidR="00F351E2" w:rsidRDefault="00F351E2" w:rsidP="00F351E2">
            <w:pPr>
              <w:spacing w:before="40" w:after="40"/>
              <w:ind w:left="170" w:right="100"/>
            </w:pPr>
            <w:r w:rsidRPr="000A6A47">
              <w:t>EEA Emission Review Tool (EMRT) for the National Emission reduction Commitment</w:t>
            </w:r>
            <w:r w:rsidR="008C5911">
              <w:t>s</w:t>
            </w:r>
            <w:r w:rsidRPr="000A6A47">
              <w:t xml:space="preserve"> Directive (NECD)</w:t>
            </w:r>
          </w:p>
        </w:tc>
      </w:tr>
      <w:tr w:rsidR="00F351E2" w14:paraId="0FA608E3" w14:textId="77777777" w:rsidTr="00E57FD9">
        <w:trPr>
          <w:trHeight w:val="360"/>
        </w:trPr>
        <w:tc>
          <w:tcPr>
            <w:tcW w:w="1560" w:type="dxa"/>
          </w:tcPr>
          <w:p w14:paraId="620952BA" w14:textId="77777777" w:rsidR="00F351E2" w:rsidRDefault="00F351E2" w:rsidP="00F351E2">
            <w:pPr>
              <w:spacing w:before="40" w:after="40"/>
              <w:ind w:left="100" w:right="100"/>
            </w:pPr>
            <w:r>
              <w:rPr>
                <w:rFonts w:ascii="Calibri" w:eastAsia="Calibri" w:hAnsi="Calibri" w:cs="Calibri"/>
                <w:color w:val="111111"/>
              </w:rPr>
              <w:t>EU</w:t>
            </w:r>
          </w:p>
        </w:tc>
        <w:tc>
          <w:tcPr>
            <w:tcW w:w="7160" w:type="dxa"/>
          </w:tcPr>
          <w:p w14:paraId="1AB79399" w14:textId="77777777" w:rsidR="00F351E2" w:rsidRDefault="00F351E2" w:rsidP="00F351E2">
            <w:pPr>
              <w:spacing w:before="40" w:after="40"/>
              <w:ind w:left="170" w:right="100"/>
            </w:pPr>
            <w:r>
              <w:rPr>
                <w:rFonts w:ascii="Calibri" w:eastAsia="Calibri" w:hAnsi="Calibri" w:cs="Calibri"/>
                <w:color w:val="111111"/>
              </w:rPr>
              <w:t>European Union</w:t>
            </w:r>
          </w:p>
        </w:tc>
      </w:tr>
      <w:tr w:rsidR="00F351E2" w14:paraId="575B8E1F" w14:textId="77777777" w:rsidTr="00E57FD9">
        <w:trPr>
          <w:trHeight w:val="360"/>
        </w:trPr>
        <w:tc>
          <w:tcPr>
            <w:tcW w:w="1560" w:type="dxa"/>
          </w:tcPr>
          <w:p w14:paraId="6FAF97B2" w14:textId="77777777" w:rsidR="00F351E2" w:rsidRDefault="00F351E2" w:rsidP="00F351E2">
            <w:pPr>
              <w:spacing w:before="40" w:after="40"/>
              <w:ind w:left="100" w:right="100"/>
            </w:pPr>
            <w:r>
              <w:rPr>
                <w:rFonts w:ascii="Calibri" w:eastAsia="Calibri" w:hAnsi="Calibri" w:cs="Calibri"/>
                <w:color w:val="111111"/>
              </w:rPr>
              <w:t>GHG</w:t>
            </w:r>
          </w:p>
        </w:tc>
        <w:tc>
          <w:tcPr>
            <w:tcW w:w="7160" w:type="dxa"/>
          </w:tcPr>
          <w:p w14:paraId="3E5B8073" w14:textId="77777777" w:rsidR="00F351E2" w:rsidRDefault="00F351E2" w:rsidP="00F351E2">
            <w:pPr>
              <w:spacing w:before="40" w:after="40"/>
              <w:ind w:left="170" w:right="100"/>
            </w:pPr>
            <w:r>
              <w:rPr>
                <w:rFonts w:ascii="Calibri" w:eastAsia="Calibri" w:hAnsi="Calibri" w:cs="Calibri"/>
                <w:color w:val="111111"/>
              </w:rPr>
              <w:t>Greenhouse gas</w:t>
            </w:r>
          </w:p>
        </w:tc>
      </w:tr>
      <w:tr w:rsidR="00F351E2" w14:paraId="0745437D" w14:textId="77777777" w:rsidTr="00E57FD9">
        <w:trPr>
          <w:trHeight w:val="360"/>
        </w:trPr>
        <w:tc>
          <w:tcPr>
            <w:tcW w:w="1560" w:type="dxa"/>
          </w:tcPr>
          <w:p w14:paraId="6E682D00" w14:textId="77777777" w:rsidR="00F351E2" w:rsidRDefault="00F351E2" w:rsidP="00F351E2">
            <w:pPr>
              <w:spacing w:before="40" w:after="40"/>
              <w:ind w:left="100" w:right="100"/>
              <w:rPr>
                <w:rFonts w:ascii="Calibri" w:eastAsia="Calibri" w:hAnsi="Calibri" w:cs="Calibri"/>
                <w:color w:val="111111"/>
              </w:rPr>
            </w:pPr>
            <w:r>
              <w:rPr>
                <w:rFonts w:ascii="Calibri" w:eastAsia="Calibri" w:hAnsi="Calibri" w:cs="Calibri"/>
                <w:color w:val="111111"/>
              </w:rPr>
              <w:t>HCB</w:t>
            </w:r>
          </w:p>
        </w:tc>
        <w:tc>
          <w:tcPr>
            <w:tcW w:w="7160" w:type="dxa"/>
          </w:tcPr>
          <w:p w14:paraId="2D934EDD" w14:textId="77777777" w:rsidR="00F351E2" w:rsidRDefault="00F351E2" w:rsidP="00F351E2">
            <w:pPr>
              <w:spacing w:before="40" w:after="40"/>
              <w:ind w:left="170" w:right="100"/>
              <w:rPr>
                <w:rFonts w:ascii="Calibri" w:eastAsia="Calibri" w:hAnsi="Calibri" w:cs="Calibri"/>
                <w:color w:val="111111"/>
              </w:rPr>
            </w:pPr>
            <w:r>
              <w:t>Hexachlorobenzene</w:t>
            </w:r>
          </w:p>
        </w:tc>
      </w:tr>
      <w:tr w:rsidR="00F351E2" w14:paraId="2F9C456F" w14:textId="77777777" w:rsidTr="00E57FD9">
        <w:trPr>
          <w:trHeight w:val="360"/>
        </w:trPr>
        <w:tc>
          <w:tcPr>
            <w:tcW w:w="1560" w:type="dxa"/>
          </w:tcPr>
          <w:p w14:paraId="073AC5AA" w14:textId="77777777" w:rsidR="00F351E2" w:rsidRDefault="00F351E2" w:rsidP="00F351E2">
            <w:pPr>
              <w:spacing w:before="40" w:after="40"/>
              <w:ind w:left="100" w:right="100"/>
              <w:rPr>
                <w:rFonts w:ascii="Calibri" w:eastAsia="Calibri" w:hAnsi="Calibri" w:cs="Calibri"/>
                <w:color w:val="111111"/>
              </w:rPr>
            </w:pPr>
            <w:r>
              <w:rPr>
                <w:rFonts w:ascii="Calibri" w:eastAsia="Calibri" w:hAnsi="Calibri" w:cs="Calibri"/>
                <w:color w:val="111111"/>
              </w:rPr>
              <w:t>Hg</w:t>
            </w:r>
          </w:p>
        </w:tc>
        <w:tc>
          <w:tcPr>
            <w:tcW w:w="7160" w:type="dxa"/>
          </w:tcPr>
          <w:p w14:paraId="74BDC786" w14:textId="77777777" w:rsidR="00F351E2" w:rsidRDefault="00F351E2" w:rsidP="00F351E2">
            <w:pPr>
              <w:spacing w:before="40" w:after="40"/>
              <w:ind w:left="170" w:right="100"/>
              <w:rPr>
                <w:rFonts w:ascii="Calibri" w:eastAsia="Calibri" w:hAnsi="Calibri" w:cs="Calibri"/>
                <w:color w:val="111111"/>
              </w:rPr>
            </w:pPr>
            <w:r>
              <w:rPr>
                <w:rFonts w:ascii="Calibri" w:eastAsia="Calibri" w:hAnsi="Calibri" w:cs="Calibri"/>
                <w:color w:val="111111"/>
              </w:rPr>
              <w:t>Mercury</w:t>
            </w:r>
          </w:p>
        </w:tc>
      </w:tr>
      <w:tr w:rsidR="00F351E2" w14:paraId="5EBBE738" w14:textId="77777777" w:rsidTr="00E57FD9">
        <w:trPr>
          <w:trHeight w:val="360"/>
        </w:trPr>
        <w:tc>
          <w:tcPr>
            <w:tcW w:w="1560" w:type="dxa"/>
          </w:tcPr>
          <w:p w14:paraId="19208094" w14:textId="77777777" w:rsidR="00F351E2" w:rsidRDefault="00F351E2" w:rsidP="00F351E2">
            <w:pPr>
              <w:spacing w:before="40" w:after="40"/>
              <w:ind w:left="100" w:right="100"/>
            </w:pPr>
            <w:r>
              <w:rPr>
                <w:rFonts w:ascii="Calibri" w:eastAsia="Calibri" w:hAnsi="Calibri" w:cs="Calibri"/>
                <w:color w:val="111111"/>
              </w:rPr>
              <w:t>HMs</w:t>
            </w:r>
          </w:p>
        </w:tc>
        <w:tc>
          <w:tcPr>
            <w:tcW w:w="7160" w:type="dxa"/>
          </w:tcPr>
          <w:p w14:paraId="0EF16BA9" w14:textId="77777777" w:rsidR="00F351E2" w:rsidRDefault="00F351E2" w:rsidP="00F351E2">
            <w:pPr>
              <w:spacing w:before="40" w:after="40"/>
              <w:ind w:left="170" w:right="100"/>
            </w:pPr>
            <w:r>
              <w:rPr>
                <w:rFonts w:ascii="Calibri" w:eastAsia="Calibri" w:hAnsi="Calibri" w:cs="Calibri"/>
                <w:color w:val="111111"/>
              </w:rPr>
              <w:t>Heavy metals</w:t>
            </w:r>
          </w:p>
        </w:tc>
      </w:tr>
      <w:tr w:rsidR="00F351E2" w14:paraId="2199949C" w14:textId="77777777" w:rsidTr="00E57FD9">
        <w:trPr>
          <w:trHeight w:val="360"/>
        </w:trPr>
        <w:tc>
          <w:tcPr>
            <w:tcW w:w="1560" w:type="dxa"/>
          </w:tcPr>
          <w:p w14:paraId="69A22B5A" w14:textId="77777777" w:rsidR="00F351E2" w:rsidRDefault="00F351E2" w:rsidP="00F351E2">
            <w:pPr>
              <w:spacing w:before="40" w:after="40"/>
              <w:ind w:left="100" w:right="100"/>
            </w:pPr>
            <w:r>
              <w:rPr>
                <w:rFonts w:ascii="Calibri" w:eastAsia="Calibri" w:hAnsi="Calibri" w:cs="Calibri"/>
                <w:color w:val="111111"/>
              </w:rPr>
              <w:t>IEF</w:t>
            </w:r>
          </w:p>
        </w:tc>
        <w:tc>
          <w:tcPr>
            <w:tcW w:w="7160" w:type="dxa"/>
          </w:tcPr>
          <w:p w14:paraId="0D661E00" w14:textId="77777777" w:rsidR="00F351E2" w:rsidRDefault="00F351E2" w:rsidP="00F351E2">
            <w:pPr>
              <w:spacing w:before="40" w:after="40"/>
              <w:ind w:left="170" w:right="100"/>
            </w:pPr>
            <w:r>
              <w:rPr>
                <w:rFonts w:ascii="Calibri" w:eastAsia="Calibri" w:hAnsi="Calibri" w:cs="Calibri"/>
                <w:color w:val="111111"/>
              </w:rPr>
              <w:t>Implied emission factor</w:t>
            </w:r>
          </w:p>
        </w:tc>
      </w:tr>
      <w:tr w:rsidR="00F351E2" w14:paraId="5F422DCD" w14:textId="77777777" w:rsidTr="00E57FD9">
        <w:trPr>
          <w:trHeight w:val="360"/>
        </w:trPr>
        <w:tc>
          <w:tcPr>
            <w:tcW w:w="1560" w:type="dxa"/>
          </w:tcPr>
          <w:p w14:paraId="1BE6D767" w14:textId="77777777" w:rsidR="00F351E2" w:rsidRDefault="00F351E2" w:rsidP="00F351E2">
            <w:pPr>
              <w:spacing w:before="40" w:after="40"/>
              <w:ind w:left="100" w:right="100"/>
              <w:rPr>
                <w:rFonts w:ascii="Calibri" w:eastAsia="Calibri" w:hAnsi="Calibri" w:cs="Calibri"/>
                <w:color w:val="111111"/>
              </w:rPr>
            </w:pPr>
            <w:r>
              <w:rPr>
                <w:rFonts w:ascii="Calibri" w:eastAsia="Calibri" w:hAnsi="Calibri" w:cs="Calibri"/>
                <w:color w:val="111111"/>
              </w:rPr>
              <w:t>LPS</w:t>
            </w:r>
          </w:p>
        </w:tc>
        <w:tc>
          <w:tcPr>
            <w:tcW w:w="7160" w:type="dxa"/>
          </w:tcPr>
          <w:p w14:paraId="01E23CC6" w14:textId="77777777" w:rsidR="00F351E2" w:rsidRDefault="00F351E2" w:rsidP="00F351E2">
            <w:pPr>
              <w:spacing w:before="40" w:after="40"/>
              <w:ind w:left="170" w:right="100"/>
              <w:rPr>
                <w:rFonts w:ascii="Calibri" w:eastAsia="Calibri" w:hAnsi="Calibri" w:cs="Calibri"/>
                <w:color w:val="111111"/>
              </w:rPr>
            </w:pPr>
            <w:r>
              <w:rPr>
                <w:rFonts w:ascii="Calibri" w:eastAsia="Calibri" w:hAnsi="Calibri" w:cs="Calibri"/>
                <w:color w:val="111111"/>
              </w:rPr>
              <w:t>Large point sources</w:t>
            </w:r>
          </w:p>
        </w:tc>
      </w:tr>
      <w:tr w:rsidR="00F351E2" w14:paraId="7815D36A" w14:textId="77777777" w:rsidTr="00E57FD9">
        <w:trPr>
          <w:trHeight w:val="360"/>
        </w:trPr>
        <w:tc>
          <w:tcPr>
            <w:tcW w:w="1560" w:type="dxa"/>
          </w:tcPr>
          <w:p w14:paraId="08E40252" w14:textId="77777777" w:rsidR="00F351E2" w:rsidRDefault="00F351E2" w:rsidP="00F351E2">
            <w:pPr>
              <w:spacing w:before="40" w:after="40"/>
              <w:ind w:left="100" w:right="100"/>
            </w:pPr>
            <w:r>
              <w:rPr>
                <w:rFonts w:ascii="Calibri" w:eastAsia="Calibri" w:hAnsi="Calibri" w:cs="Calibri"/>
                <w:color w:val="111111"/>
              </w:rPr>
              <w:t>kt</w:t>
            </w:r>
          </w:p>
        </w:tc>
        <w:tc>
          <w:tcPr>
            <w:tcW w:w="7160" w:type="dxa"/>
          </w:tcPr>
          <w:p w14:paraId="2E39BD09" w14:textId="77777777" w:rsidR="00F351E2" w:rsidRDefault="00F351E2" w:rsidP="00F351E2">
            <w:pPr>
              <w:spacing w:before="40" w:after="40"/>
              <w:ind w:left="170" w:right="100"/>
            </w:pPr>
            <w:r>
              <w:rPr>
                <w:rFonts w:ascii="Calibri" w:eastAsia="Calibri" w:hAnsi="Calibri" w:cs="Calibri"/>
                <w:color w:val="111111"/>
              </w:rPr>
              <w:t>Kilotonnes</w:t>
            </w:r>
          </w:p>
        </w:tc>
      </w:tr>
      <w:tr w:rsidR="00F351E2" w14:paraId="7F15D070" w14:textId="77777777" w:rsidTr="00E57FD9">
        <w:trPr>
          <w:trHeight w:val="360"/>
        </w:trPr>
        <w:tc>
          <w:tcPr>
            <w:tcW w:w="1560" w:type="dxa"/>
          </w:tcPr>
          <w:p w14:paraId="785C7ED8" w14:textId="77777777" w:rsidR="00F351E2" w:rsidRDefault="00F351E2" w:rsidP="00F351E2">
            <w:pPr>
              <w:spacing w:before="40" w:after="40"/>
              <w:ind w:left="100" w:right="100"/>
              <w:rPr>
                <w:rFonts w:ascii="Calibri" w:eastAsia="Calibri" w:hAnsi="Calibri" w:cs="Calibri"/>
                <w:color w:val="111111"/>
              </w:rPr>
            </w:pPr>
            <w:r>
              <w:rPr>
                <w:rFonts w:ascii="Calibri" w:eastAsia="Calibri" w:hAnsi="Calibri" w:cs="Calibri"/>
                <w:color w:val="111111"/>
              </w:rPr>
              <w:t>NA</w:t>
            </w:r>
          </w:p>
        </w:tc>
        <w:tc>
          <w:tcPr>
            <w:tcW w:w="7160" w:type="dxa"/>
          </w:tcPr>
          <w:p w14:paraId="0F7B0FB2" w14:textId="77777777" w:rsidR="00F351E2" w:rsidRDefault="00F351E2" w:rsidP="00F351E2">
            <w:pPr>
              <w:spacing w:before="40" w:after="40"/>
              <w:ind w:left="170" w:right="100"/>
              <w:rPr>
                <w:rFonts w:ascii="Calibri" w:eastAsia="Calibri" w:hAnsi="Calibri" w:cs="Calibri"/>
                <w:color w:val="111111"/>
              </w:rPr>
            </w:pPr>
            <w:r>
              <w:rPr>
                <w:rFonts w:ascii="Calibri" w:eastAsia="Calibri" w:hAnsi="Calibri" w:cs="Calibri"/>
                <w:color w:val="111111"/>
              </w:rPr>
              <w:t>Not applicable</w:t>
            </w:r>
          </w:p>
        </w:tc>
      </w:tr>
      <w:tr w:rsidR="00F351E2" w14:paraId="1E84F3C0" w14:textId="77777777" w:rsidTr="00E57FD9">
        <w:trPr>
          <w:trHeight w:val="360"/>
        </w:trPr>
        <w:tc>
          <w:tcPr>
            <w:tcW w:w="1560" w:type="dxa"/>
          </w:tcPr>
          <w:p w14:paraId="02EA6269" w14:textId="77777777" w:rsidR="00F351E2" w:rsidRDefault="00F351E2" w:rsidP="00F351E2">
            <w:pPr>
              <w:spacing w:before="40" w:after="40"/>
              <w:ind w:left="100" w:right="100"/>
            </w:pPr>
            <w:r>
              <w:rPr>
                <w:rFonts w:ascii="Calibri" w:eastAsia="Calibri" w:hAnsi="Calibri" w:cs="Calibri"/>
                <w:color w:val="111111"/>
              </w:rPr>
              <w:t>NECD</w:t>
            </w:r>
          </w:p>
        </w:tc>
        <w:tc>
          <w:tcPr>
            <w:tcW w:w="7160" w:type="dxa"/>
          </w:tcPr>
          <w:p w14:paraId="74CE0439" w14:textId="6B231FCB" w:rsidR="00F351E2" w:rsidRDefault="00F351E2" w:rsidP="00F351E2">
            <w:pPr>
              <w:spacing w:before="40" w:after="40"/>
              <w:ind w:left="170" w:right="100"/>
            </w:pPr>
            <w:r w:rsidRPr="000A6A47">
              <w:rPr>
                <w:rFonts w:ascii="Calibri" w:eastAsia="Calibri" w:hAnsi="Calibri" w:cs="Calibri"/>
                <w:color w:val="111111"/>
              </w:rPr>
              <w:t>National Emission reduction Commitment</w:t>
            </w:r>
            <w:r w:rsidR="008C5911">
              <w:rPr>
                <w:rFonts w:ascii="Calibri" w:eastAsia="Calibri" w:hAnsi="Calibri" w:cs="Calibri"/>
                <w:color w:val="111111"/>
              </w:rPr>
              <w:t>s</w:t>
            </w:r>
            <w:r w:rsidRPr="000A6A47">
              <w:rPr>
                <w:rFonts w:ascii="Calibri" w:eastAsia="Calibri" w:hAnsi="Calibri" w:cs="Calibri"/>
                <w:color w:val="111111"/>
              </w:rPr>
              <w:t xml:space="preserve"> Directive</w:t>
            </w:r>
          </w:p>
        </w:tc>
      </w:tr>
      <w:tr w:rsidR="00F12483" w14:paraId="1D43F644" w14:textId="77777777" w:rsidTr="00E57FD9">
        <w:trPr>
          <w:trHeight w:val="360"/>
        </w:trPr>
        <w:tc>
          <w:tcPr>
            <w:tcW w:w="1560" w:type="dxa"/>
          </w:tcPr>
          <w:p w14:paraId="6D87CCA9" w14:textId="77777777" w:rsidR="00F12483" w:rsidRDefault="00F12483" w:rsidP="0021221A">
            <w:pPr>
              <w:spacing w:before="40" w:after="40"/>
              <w:ind w:left="100" w:right="100"/>
            </w:pPr>
            <w:r>
              <w:rPr>
                <w:rFonts w:ascii="Calibri" w:eastAsia="Calibri" w:hAnsi="Calibri" w:cs="Calibri"/>
                <w:color w:val="111111"/>
              </w:rPr>
              <w:t>NFR</w:t>
            </w:r>
          </w:p>
        </w:tc>
        <w:tc>
          <w:tcPr>
            <w:tcW w:w="7160" w:type="dxa"/>
          </w:tcPr>
          <w:p w14:paraId="0DC36D47" w14:textId="77777777" w:rsidR="00F12483" w:rsidRDefault="00F12483" w:rsidP="005F7955">
            <w:pPr>
              <w:spacing w:before="40" w:after="40"/>
              <w:ind w:left="170" w:right="100"/>
            </w:pPr>
            <w:r>
              <w:rPr>
                <w:rFonts w:ascii="Calibri" w:eastAsia="Calibri" w:hAnsi="Calibri" w:cs="Calibri"/>
                <w:color w:val="111111"/>
              </w:rPr>
              <w:t xml:space="preserve">Nomenclature for </w:t>
            </w:r>
            <w:r w:rsidR="00E57FD9">
              <w:rPr>
                <w:rFonts w:ascii="Calibri" w:eastAsia="Calibri" w:hAnsi="Calibri" w:cs="Calibri"/>
                <w:color w:val="111111"/>
              </w:rPr>
              <w:t>r</w:t>
            </w:r>
            <w:r>
              <w:rPr>
                <w:rFonts w:ascii="Calibri" w:eastAsia="Calibri" w:hAnsi="Calibri" w:cs="Calibri"/>
                <w:color w:val="111111"/>
              </w:rPr>
              <w:t>eporting</w:t>
            </w:r>
          </w:p>
        </w:tc>
      </w:tr>
      <w:tr w:rsidR="00F12483" w14:paraId="48EEE52B" w14:textId="77777777" w:rsidTr="00E57FD9">
        <w:trPr>
          <w:trHeight w:val="360"/>
        </w:trPr>
        <w:tc>
          <w:tcPr>
            <w:tcW w:w="1560" w:type="dxa"/>
          </w:tcPr>
          <w:p w14:paraId="534B4E64" w14:textId="5F43BC86" w:rsidR="00F12483" w:rsidRDefault="00616284" w:rsidP="0021221A">
            <w:pPr>
              <w:spacing w:before="40" w:after="40"/>
              <w:ind w:left="100" w:right="100"/>
            </w:pPr>
            <w:r w:rsidRPr="00616284">
              <w:rPr>
                <w:rFonts w:ascii="Calibri" w:eastAsia="Calibri" w:hAnsi="Calibri" w:cs="Calibri"/>
                <w:color w:val="111111"/>
              </w:rPr>
              <w:t>NH</w:t>
            </w:r>
            <w:r w:rsidRPr="00616284">
              <w:rPr>
                <w:rFonts w:ascii="Calibri" w:eastAsia="Calibri" w:hAnsi="Calibri" w:cs="Calibri"/>
                <w:color w:val="111111"/>
                <w:vertAlign w:val="subscript"/>
              </w:rPr>
              <w:t>3</w:t>
            </w:r>
          </w:p>
        </w:tc>
        <w:tc>
          <w:tcPr>
            <w:tcW w:w="7160" w:type="dxa"/>
          </w:tcPr>
          <w:p w14:paraId="0B0B3B4E" w14:textId="77777777" w:rsidR="00F12483" w:rsidRDefault="00F12483" w:rsidP="005F7955">
            <w:pPr>
              <w:spacing w:before="40" w:after="40"/>
              <w:ind w:left="170" w:right="100"/>
            </w:pPr>
            <w:r>
              <w:rPr>
                <w:rFonts w:ascii="Calibri" w:eastAsia="Calibri" w:hAnsi="Calibri" w:cs="Calibri"/>
                <w:color w:val="111111"/>
              </w:rPr>
              <w:t>Ammonia</w:t>
            </w:r>
          </w:p>
        </w:tc>
      </w:tr>
      <w:tr w:rsidR="00F12483" w14:paraId="01029B58" w14:textId="77777777" w:rsidTr="00E57FD9">
        <w:trPr>
          <w:trHeight w:val="360"/>
        </w:trPr>
        <w:tc>
          <w:tcPr>
            <w:tcW w:w="1560" w:type="dxa"/>
          </w:tcPr>
          <w:p w14:paraId="0FDA878E" w14:textId="77777777" w:rsidR="00F12483" w:rsidRDefault="00F12483" w:rsidP="0021221A">
            <w:pPr>
              <w:spacing w:before="40" w:after="40"/>
              <w:ind w:left="100" w:right="100"/>
            </w:pPr>
            <w:r>
              <w:rPr>
                <w:rFonts w:ascii="Calibri" w:eastAsia="Calibri" w:hAnsi="Calibri" w:cs="Calibri"/>
                <w:color w:val="111111"/>
              </w:rPr>
              <w:t>NMVOC</w:t>
            </w:r>
          </w:p>
        </w:tc>
        <w:tc>
          <w:tcPr>
            <w:tcW w:w="7160" w:type="dxa"/>
          </w:tcPr>
          <w:p w14:paraId="4D8EF966" w14:textId="77777777" w:rsidR="00F12483" w:rsidRDefault="00F12483" w:rsidP="005F7955">
            <w:pPr>
              <w:spacing w:before="40" w:after="40"/>
              <w:ind w:left="170" w:right="100"/>
            </w:pPr>
            <w:r>
              <w:rPr>
                <w:rFonts w:ascii="Calibri" w:eastAsia="Calibri" w:hAnsi="Calibri" w:cs="Calibri"/>
                <w:color w:val="111111"/>
              </w:rPr>
              <w:t>Non-methane volatile organic compounds</w:t>
            </w:r>
          </w:p>
        </w:tc>
      </w:tr>
      <w:tr w:rsidR="00F12483" w14:paraId="675A8FDD" w14:textId="77777777" w:rsidTr="00E57FD9">
        <w:trPr>
          <w:trHeight w:val="360"/>
        </w:trPr>
        <w:tc>
          <w:tcPr>
            <w:tcW w:w="1560" w:type="dxa"/>
          </w:tcPr>
          <w:p w14:paraId="5C0E37EA" w14:textId="0E363E72" w:rsidR="00F12483" w:rsidRDefault="00616284" w:rsidP="0021221A">
            <w:pPr>
              <w:spacing w:before="40" w:after="40"/>
              <w:ind w:left="100" w:right="100"/>
            </w:pPr>
            <w:r w:rsidRPr="00616284">
              <w:rPr>
                <w:rFonts w:ascii="Calibri" w:eastAsia="Calibri" w:hAnsi="Calibri" w:cs="Calibri"/>
                <w:color w:val="111111"/>
              </w:rPr>
              <w:t>NO</w:t>
            </w:r>
            <w:r w:rsidRPr="00616284">
              <w:rPr>
                <w:rFonts w:ascii="Calibri" w:eastAsia="Calibri" w:hAnsi="Calibri" w:cs="Calibri"/>
                <w:color w:val="111111"/>
                <w:vertAlign w:val="subscript"/>
              </w:rPr>
              <w:t>X</w:t>
            </w:r>
          </w:p>
        </w:tc>
        <w:tc>
          <w:tcPr>
            <w:tcW w:w="7160" w:type="dxa"/>
          </w:tcPr>
          <w:p w14:paraId="2883E7A6" w14:textId="77777777" w:rsidR="00F12483" w:rsidRDefault="00F12483" w:rsidP="005F7955">
            <w:pPr>
              <w:spacing w:before="40" w:after="40"/>
              <w:ind w:left="170" w:right="100"/>
            </w:pPr>
            <w:r>
              <w:rPr>
                <w:rFonts w:ascii="Calibri" w:eastAsia="Calibri" w:hAnsi="Calibri" w:cs="Calibri"/>
                <w:color w:val="111111"/>
              </w:rPr>
              <w:t>Nitrogen oxides</w:t>
            </w:r>
          </w:p>
        </w:tc>
      </w:tr>
      <w:tr w:rsidR="005F7955" w14:paraId="5CCD63BC" w14:textId="77777777" w:rsidTr="00E57FD9">
        <w:trPr>
          <w:trHeight w:val="360"/>
        </w:trPr>
        <w:tc>
          <w:tcPr>
            <w:tcW w:w="1560" w:type="dxa"/>
          </w:tcPr>
          <w:p w14:paraId="184DF2D8" w14:textId="77777777" w:rsidR="005F7955" w:rsidRPr="00AC5535" w:rsidRDefault="005F7955" w:rsidP="0021221A">
            <w:pPr>
              <w:spacing w:before="40" w:after="40"/>
              <w:ind w:left="100" w:right="100"/>
              <w:rPr>
                <w:rFonts w:ascii="Calibri" w:eastAsia="Calibri" w:hAnsi="Calibri" w:cs="Calibri"/>
                <w:color w:val="111111"/>
              </w:rPr>
            </w:pPr>
            <w:r>
              <w:rPr>
                <w:rFonts w:ascii="Calibri" w:eastAsia="Calibri" w:hAnsi="Calibri" w:cs="Calibri"/>
                <w:color w:val="111111"/>
              </w:rPr>
              <w:t>NR</w:t>
            </w:r>
          </w:p>
        </w:tc>
        <w:tc>
          <w:tcPr>
            <w:tcW w:w="7160" w:type="dxa"/>
          </w:tcPr>
          <w:p w14:paraId="016A0EFB" w14:textId="77777777" w:rsidR="005F7955" w:rsidRDefault="005F7955" w:rsidP="005F7955">
            <w:pPr>
              <w:spacing w:before="40" w:after="40"/>
              <w:ind w:left="170" w:right="100"/>
              <w:rPr>
                <w:rFonts w:ascii="Calibri" w:eastAsia="Calibri" w:hAnsi="Calibri" w:cs="Calibri"/>
                <w:color w:val="111111"/>
              </w:rPr>
            </w:pPr>
            <w:r>
              <w:rPr>
                <w:rFonts w:ascii="Calibri" w:eastAsia="Calibri" w:hAnsi="Calibri" w:cs="Calibri"/>
                <w:color w:val="111111"/>
              </w:rPr>
              <w:t>Not relevant</w:t>
            </w:r>
          </w:p>
        </w:tc>
      </w:tr>
      <w:tr w:rsidR="005F7955" w14:paraId="28C6D935" w14:textId="77777777" w:rsidTr="00E57FD9">
        <w:trPr>
          <w:trHeight w:val="360"/>
        </w:trPr>
        <w:tc>
          <w:tcPr>
            <w:tcW w:w="1560" w:type="dxa"/>
          </w:tcPr>
          <w:p w14:paraId="4E78181C" w14:textId="77777777" w:rsidR="005F7955" w:rsidRDefault="005F7955" w:rsidP="0021221A">
            <w:pPr>
              <w:spacing w:before="40" w:after="40"/>
              <w:ind w:left="100" w:right="100"/>
              <w:rPr>
                <w:rFonts w:ascii="Calibri" w:eastAsia="Calibri" w:hAnsi="Calibri" w:cs="Calibri"/>
                <w:color w:val="111111"/>
              </w:rPr>
            </w:pPr>
            <w:r>
              <w:rPr>
                <w:rFonts w:ascii="Calibri" w:eastAsia="Calibri" w:hAnsi="Calibri" w:cs="Calibri"/>
                <w:color w:val="111111"/>
              </w:rPr>
              <w:t>PAHs</w:t>
            </w:r>
          </w:p>
        </w:tc>
        <w:tc>
          <w:tcPr>
            <w:tcW w:w="7160" w:type="dxa"/>
          </w:tcPr>
          <w:p w14:paraId="7041D64A" w14:textId="77777777" w:rsidR="005F7955" w:rsidRDefault="00FB2A37" w:rsidP="005F7955">
            <w:pPr>
              <w:spacing w:before="40" w:after="40"/>
              <w:ind w:left="170" w:right="100"/>
              <w:rPr>
                <w:rFonts w:ascii="Calibri" w:eastAsia="Calibri" w:hAnsi="Calibri" w:cs="Calibri"/>
                <w:color w:val="111111"/>
              </w:rPr>
            </w:pPr>
            <w:r>
              <w:t>P</w:t>
            </w:r>
            <w:r w:rsidR="005F7955">
              <w:t>olycyclic aromatic hydrocarbons</w:t>
            </w:r>
          </w:p>
        </w:tc>
      </w:tr>
      <w:tr w:rsidR="00F12483" w14:paraId="339CA41D" w14:textId="77777777" w:rsidTr="00E57FD9">
        <w:trPr>
          <w:trHeight w:val="360"/>
        </w:trPr>
        <w:tc>
          <w:tcPr>
            <w:tcW w:w="1560" w:type="dxa"/>
          </w:tcPr>
          <w:p w14:paraId="6F8797B3" w14:textId="77777777" w:rsidR="00F12483" w:rsidRPr="00AC5535" w:rsidRDefault="00F12483" w:rsidP="0021221A">
            <w:pPr>
              <w:spacing w:before="40" w:after="40"/>
              <w:ind w:left="100" w:right="100"/>
              <w:rPr>
                <w:rFonts w:ascii="Calibri" w:eastAsia="Calibri" w:hAnsi="Calibri" w:cs="Calibri"/>
                <w:color w:val="111111"/>
              </w:rPr>
            </w:pPr>
            <w:r>
              <w:rPr>
                <w:rFonts w:ascii="Calibri" w:eastAsia="Calibri" w:hAnsi="Calibri" w:cs="Calibri"/>
                <w:color w:val="111111"/>
              </w:rPr>
              <w:t>Pb</w:t>
            </w:r>
          </w:p>
        </w:tc>
        <w:tc>
          <w:tcPr>
            <w:tcW w:w="7160" w:type="dxa"/>
          </w:tcPr>
          <w:p w14:paraId="3FD398E0" w14:textId="77777777" w:rsidR="00F12483" w:rsidRDefault="00F12483" w:rsidP="005F7955">
            <w:pPr>
              <w:spacing w:before="40" w:after="40"/>
              <w:ind w:left="170" w:right="100"/>
              <w:rPr>
                <w:rFonts w:ascii="Calibri" w:eastAsia="Calibri" w:hAnsi="Calibri" w:cs="Calibri"/>
                <w:color w:val="111111"/>
              </w:rPr>
            </w:pPr>
            <w:r>
              <w:rPr>
                <w:rFonts w:ascii="Calibri" w:eastAsia="Calibri" w:hAnsi="Calibri" w:cs="Calibri"/>
                <w:color w:val="111111"/>
              </w:rPr>
              <w:t>Lead</w:t>
            </w:r>
          </w:p>
        </w:tc>
      </w:tr>
      <w:tr w:rsidR="005F7955" w14:paraId="79A8261B" w14:textId="77777777" w:rsidTr="00E57FD9">
        <w:trPr>
          <w:trHeight w:val="360"/>
        </w:trPr>
        <w:tc>
          <w:tcPr>
            <w:tcW w:w="1560" w:type="dxa"/>
          </w:tcPr>
          <w:p w14:paraId="1B50C51A" w14:textId="77777777" w:rsidR="005F7955" w:rsidRDefault="005F7955" w:rsidP="0021221A">
            <w:pPr>
              <w:spacing w:before="40" w:after="40"/>
              <w:ind w:left="100" w:right="100"/>
              <w:rPr>
                <w:rFonts w:ascii="Calibri" w:eastAsia="Calibri" w:hAnsi="Calibri" w:cs="Calibri"/>
                <w:color w:val="111111"/>
              </w:rPr>
            </w:pPr>
            <w:r>
              <w:rPr>
                <w:rFonts w:ascii="Calibri" w:eastAsia="Calibri" w:hAnsi="Calibri" w:cs="Calibri"/>
                <w:color w:val="111111"/>
              </w:rPr>
              <w:t>PCB</w:t>
            </w:r>
          </w:p>
        </w:tc>
        <w:tc>
          <w:tcPr>
            <w:tcW w:w="7160" w:type="dxa"/>
          </w:tcPr>
          <w:p w14:paraId="04A644C0" w14:textId="77777777" w:rsidR="005F7955" w:rsidRDefault="00FB2A37" w:rsidP="005F7955">
            <w:pPr>
              <w:spacing w:before="40" w:after="40"/>
              <w:ind w:left="170" w:right="100"/>
              <w:rPr>
                <w:rFonts w:ascii="Calibri" w:eastAsia="Calibri" w:hAnsi="Calibri" w:cs="Calibri"/>
                <w:color w:val="111111"/>
              </w:rPr>
            </w:pPr>
            <w:r>
              <w:t>P</w:t>
            </w:r>
            <w:r w:rsidR="005F7955">
              <w:t>olychlorinated biphenyls</w:t>
            </w:r>
          </w:p>
        </w:tc>
      </w:tr>
      <w:tr w:rsidR="005F7955" w14:paraId="5F4A8A57" w14:textId="77777777" w:rsidTr="00E57FD9">
        <w:trPr>
          <w:trHeight w:val="360"/>
        </w:trPr>
        <w:tc>
          <w:tcPr>
            <w:tcW w:w="1560" w:type="dxa"/>
          </w:tcPr>
          <w:p w14:paraId="42CAC807" w14:textId="33335063" w:rsidR="005F7955" w:rsidRDefault="00616284" w:rsidP="0021221A">
            <w:pPr>
              <w:spacing w:before="40" w:after="40"/>
              <w:ind w:left="100" w:right="100"/>
              <w:rPr>
                <w:rFonts w:ascii="Calibri" w:eastAsia="Calibri" w:hAnsi="Calibri" w:cs="Calibri"/>
                <w:color w:val="111111"/>
              </w:rPr>
            </w:pPr>
            <w:r w:rsidRPr="00616284">
              <w:t>PM</w:t>
            </w:r>
            <w:r w:rsidRPr="00616284">
              <w:rPr>
                <w:vertAlign w:val="subscript"/>
              </w:rPr>
              <w:t>10</w:t>
            </w:r>
          </w:p>
        </w:tc>
        <w:tc>
          <w:tcPr>
            <w:tcW w:w="7160" w:type="dxa"/>
          </w:tcPr>
          <w:p w14:paraId="786895DF" w14:textId="77777777" w:rsidR="005F7955" w:rsidRDefault="00FB2A37" w:rsidP="005F7955">
            <w:pPr>
              <w:ind w:left="170"/>
            </w:pPr>
            <w:r>
              <w:t>F</w:t>
            </w:r>
            <w:r w:rsidR="005F7955">
              <w:t>ine particulate matter: particles with an aerodynamic diameter equal to or less than 10 micrometres (μm)</w:t>
            </w:r>
          </w:p>
        </w:tc>
      </w:tr>
      <w:tr w:rsidR="00F12483" w14:paraId="1F9AEF64" w14:textId="77777777" w:rsidTr="00E57FD9">
        <w:trPr>
          <w:trHeight w:val="360"/>
        </w:trPr>
        <w:tc>
          <w:tcPr>
            <w:tcW w:w="1560" w:type="dxa"/>
          </w:tcPr>
          <w:p w14:paraId="49AA0F09" w14:textId="04E67A4D" w:rsidR="00F12483" w:rsidRDefault="00616284" w:rsidP="0021221A">
            <w:pPr>
              <w:spacing w:before="40" w:after="40"/>
              <w:ind w:left="100" w:right="100"/>
            </w:pPr>
            <w:r w:rsidRPr="00616284">
              <w:rPr>
                <w:rFonts w:ascii="Calibri" w:eastAsia="Calibri" w:hAnsi="Calibri" w:cs="Calibri"/>
                <w:color w:val="111111"/>
              </w:rPr>
              <w:t>PM</w:t>
            </w:r>
            <w:r w:rsidRPr="00616284">
              <w:rPr>
                <w:rFonts w:ascii="Calibri" w:eastAsia="Calibri" w:hAnsi="Calibri" w:cs="Calibri"/>
                <w:color w:val="111111"/>
                <w:vertAlign w:val="subscript"/>
              </w:rPr>
              <w:t>2.5</w:t>
            </w:r>
          </w:p>
        </w:tc>
        <w:tc>
          <w:tcPr>
            <w:tcW w:w="7160" w:type="dxa"/>
          </w:tcPr>
          <w:p w14:paraId="1C0FA789" w14:textId="77777777" w:rsidR="00F12483" w:rsidRDefault="00FB2A37" w:rsidP="00815A08">
            <w:pPr>
              <w:spacing w:before="40" w:after="40"/>
              <w:ind w:left="170" w:right="100"/>
            </w:pPr>
            <w:r>
              <w:t>F</w:t>
            </w:r>
            <w:r w:rsidR="005F7955">
              <w:t xml:space="preserve">ine particulate matter: particles with an aerodynamic diameter equal to or less than </w:t>
            </w:r>
            <w:r w:rsidR="00815A08">
              <w:t xml:space="preserve">2.5 </w:t>
            </w:r>
            <w:r w:rsidR="005F7955">
              <w:t>micrometres (μm)</w:t>
            </w:r>
          </w:p>
        </w:tc>
      </w:tr>
      <w:tr w:rsidR="00F12483" w14:paraId="44602B91" w14:textId="77777777" w:rsidTr="00E57FD9">
        <w:trPr>
          <w:trHeight w:val="360"/>
        </w:trPr>
        <w:tc>
          <w:tcPr>
            <w:tcW w:w="1560" w:type="dxa"/>
          </w:tcPr>
          <w:p w14:paraId="15DE80C9" w14:textId="77777777" w:rsidR="00F12483" w:rsidRDefault="00F12483" w:rsidP="0021221A">
            <w:pPr>
              <w:spacing w:before="40" w:after="40"/>
              <w:ind w:left="100" w:right="100"/>
            </w:pPr>
            <w:r>
              <w:rPr>
                <w:rFonts w:ascii="Calibri" w:eastAsia="Calibri" w:hAnsi="Calibri" w:cs="Calibri"/>
                <w:color w:val="111111"/>
              </w:rPr>
              <w:t>POPs</w:t>
            </w:r>
          </w:p>
        </w:tc>
        <w:tc>
          <w:tcPr>
            <w:tcW w:w="7160" w:type="dxa"/>
          </w:tcPr>
          <w:p w14:paraId="13FF4E01" w14:textId="77777777" w:rsidR="00F12483" w:rsidRDefault="00F12483" w:rsidP="005F7955">
            <w:pPr>
              <w:spacing w:before="40" w:after="40"/>
              <w:ind w:left="170" w:right="100"/>
            </w:pPr>
            <w:r>
              <w:rPr>
                <w:rFonts w:ascii="Calibri" w:eastAsia="Calibri" w:hAnsi="Calibri" w:cs="Calibri"/>
                <w:color w:val="111111"/>
              </w:rPr>
              <w:t>Persistent Organic Pollutants</w:t>
            </w:r>
          </w:p>
        </w:tc>
      </w:tr>
      <w:tr w:rsidR="00F12483" w14:paraId="17A5473F" w14:textId="77777777" w:rsidTr="00E57FD9">
        <w:trPr>
          <w:trHeight w:val="360"/>
        </w:trPr>
        <w:tc>
          <w:tcPr>
            <w:tcW w:w="1560" w:type="dxa"/>
          </w:tcPr>
          <w:p w14:paraId="38744426" w14:textId="77777777" w:rsidR="00F12483" w:rsidRDefault="00F12483" w:rsidP="0021221A">
            <w:pPr>
              <w:spacing w:before="40" w:after="40"/>
              <w:ind w:left="100" w:right="100"/>
            </w:pPr>
            <w:r>
              <w:rPr>
                <w:rFonts w:ascii="Calibri" w:eastAsia="Calibri" w:hAnsi="Calibri" w:cs="Calibri"/>
                <w:color w:val="111111"/>
              </w:rPr>
              <w:t>PTC</w:t>
            </w:r>
          </w:p>
        </w:tc>
        <w:tc>
          <w:tcPr>
            <w:tcW w:w="7160" w:type="dxa"/>
          </w:tcPr>
          <w:p w14:paraId="5F6743EA" w14:textId="77777777" w:rsidR="00F12483" w:rsidRDefault="00F12483" w:rsidP="005F7955">
            <w:pPr>
              <w:spacing w:before="40" w:after="40"/>
              <w:ind w:left="170" w:right="100"/>
            </w:pPr>
            <w:r>
              <w:rPr>
                <w:rFonts w:ascii="Calibri" w:eastAsia="Calibri" w:hAnsi="Calibri" w:cs="Calibri"/>
                <w:color w:val="111111"/>
              </w:rPr>
              <w:t>Potential technical correction</w:t>
            </w:r>
          </w:p>
        </w:tc>
      </w:tr>
      <w:tr w:rsidR="00F12483" w14:paraId="472A9B70" w14:textId="77777777" w:rsidTr="00E57FD9">
        <w:trPr>
          <w:trHeight w:val="360"/>
        </w:trPr>
        <w:tc>
          <w:tcPr>
            <w:tcW w:w="1560" w:type="dxa"/>
          </w:tcPr>
          <w:p w14:paraId="3AAAEA31" w14:textId="77777777" w:rsidR="00F12483" w:rsidRDefault="00F12483" w:rsidP="0021221A">
            <w:pPr>
              <w:spacing w:before="40" w:after="40"/>
              <w:ind w:left="100" w:right="100"/>
            </w:pPr>
            <w:r>
              <w:rPr>
                <w:rFonts w:ascii="Calibri" w:eastAsia="Calibri" w:hAnsi="Calibri" w:cs="Calibri"/>
                <w:color w:val="111111"/>
              </w:rPr>
              <w:t>RE</w:t>
            </w:r>
          </w:p>
        </w:tc>
        <w:tc>
          <w:tcPr>
            <w:tcW w:w="7160" w:type="dxa"/>
          </w:tcPr>
          <w:p w14:paraId="49E73D61" w14:textId="77777777" w:rsidR="00F12483" w:rsidRDefault="00F12483" w:rsidP="005F7955">
            <w:pPr>
              <w:spacing w:before="40" w:after="40"/>
              <w:ind w:left="170" w:right="100"/>
            </w:pPr>
            <w:r>
              <w:rPr>
                <w:rFonts w:ascii="Calibri" w:eastAsia="Calibri" w:hAnsi="Calibri" w:cs="Calibri"/>
                <w:color w:val="111111"/>
              </w:rPr>
              <w:t>Revised estimate</w:t>
            </w:r>
          </w:p>
        </w:tc>
      </w:tr>
      <w:tr w:rsidR="00F12483" w14:paraId="0009D190" w14:textId="77777777" w:rsidTr="00E57FD9">
        <w:trPr>
          <w:trHeight w:val="360"/>
        </w:trPr>
        <w:tc>
          <w:tcPr>
            <w:tcW w:w="1560" w:type="dxa"/>
          </w:tcPr>
          <w:p w14:paraId="4899F26D" w14:textId="513D4AD9" w:rsidR="00F12483" w:rsidRDefault="00616284" w:rsidP="0021221A">
            <w:pPr>
              <w:spacing w:before="40" w:after="40"/>
              <w:ind w:left="100" w:right="100"/>
            </w:pPr>
            <w:r w:rsidRPr="00616284">
              <w:rPr>
                <w:rFonts w:ascii="Calibri" w:eastAsia="Calibri" w:hAnsi="Calibri" w:cs="Calibri"/>
                <w:color w:val="111111"/>
              </w:rPr>
              <w:t>SO</w:t>
            </w:r>
            <w:r w:rsidRPr="00616284">
              <w:rPr>
                <w:rFonts w:ascii="Calibri" w:eastAsia="Calibri" w:hAnsi="Calibri" w:cs="Calibri"/>
                <w:color w:val="111111"/>
                <w:vertAlign w:val="subscript"/>
              </w:rPr>
              <w:t>2</w:t>
            </w:r>
          </w:p>
        </w:tc>
        <w:tc>
          <w:tcPr>
            <w:tcW w:w="7160" w:type="dxa"/>
          </w:tcPr>
          <w:p w14:paraId="54F61829" w14:textId="77777777" w:rsidR="00F12483" w:rsidRDefault="00F12483" w:rsidP="005F7955">
            <w:pPr>
              <w:spacing w:before="40" w:after="40"/>
              <w:ind w:left="170" w:right="100"/>
            </w:pPr>
            <w:r>
              <w:rPr>
                <w:rFonts w:ascii="Calibri" w:eastAsia="Calibri" w:hAnsi="Calibri" w:cs="Calibri"/>
                <w:color w:val="111111"/>
              </w:rPr>
              <w:t>Sulphur dioxide</w:t>
            </w:r>
          </w:p>
        </w:tc>
      </w:tr>
      <w:tr w:rsidR="00F12483" w14:paraId="76CCE384" w14:textId="77777777" w:rsidTr="00E57FD9">
        <w:trPr>
          <w:trHeight w:val="360"/>
        </w:trPr>
        <w:tc>
          <w:tcPr>
            <w:tcW w:w="1560" w:type="dxa"/>
          </w:tcPr>
          <w:p w14:paraId="13B92DAC" w14:textId="10911B2A" w:rsidR="00F12483" w:rsidRDefault="00616284" w:rsidP="0021221A">
            <w:pPr>
              <w:spacing w:before="40" w:after="40"/>
              <w:ind w:left="100" w:right="100"/>
            </w:pPr>
            <w:r w:rsidRPr="00616284">
              <w:rPr>
                <w:rFonts w:ascii="Calibri" w:eastAsia="Calibri" w:hAnsi="Calibri" w:cs="Calibri"/>
                <w:color w:val="111111"/>
              </w:rPr>
              <w:t>SO</w:t>
            </w:r>
            <w:r w:rsidRPr="00616284">
              <w:rPr>
                <w:rFonts w:ascii="Calibri" w:eastAsia="Calibri" w:hAnsi="Calibri" w:cs="Calibri"/>
                <w:color w:val="111111"/>
                <w:vertAlign w:val="subscript"/>
              </w:rPr>
              <w:t>X</w:t>
            </w:r>
          </w:p>
        </w:tc>
        <w:tc>
          <w:tcPr>
            <w:tcW w:w="7160" w:type="dxa"/>
          </w:tcPr>
          <w:p w14:paraId="4219E758" w14:textId="77777777" w:rsidR="00F12483" w:rsidRDefault="00F12483" w:rsidP="005F7955">
            <w:pPr>
              <w:spacing w:before="40" w:after="40"/>
              <w:ind w:left="170" w:right="100"/>
            </w:pPr>
            <w:r>
              <w:rPr>
                <w:rFonts w:ascii="Calibri" w:eastAsia="Calibri" w:hAnsi="Calibri" w:cs="Calibri"/>
                <w:color w:val="111111"/>
              </w:rPr>
              <w:t>Sulphur oxides</w:t>
            </w:r>
          </w:p>
        </w:tc>
      </w:tr>
      <w:tr w:rsidR="00F12483" w14:paraId="4D77961F" w14:textId="77777777" w:rsidTr="00E57FD9">
        <w:trPr>
          <w:trHeight w:val="360"/>
        </w:trPr>
        <w:tc>
          <w:tcPr>
            <w:tcW w:w="1560" w:type="dxa"/>
          </w:tcPr>
          <w:p w14:paraId="2D4130B2" w14:textId="77777777" w:rsidR="00F12483" w:rsidRDefault="00F12483" w:rsidP="0021221A">
            <w:pPr>
              <w:spacing w:before="40" w:after="40"/>
              <w:ind w:left="100" w:right="100"/>
            </w:pPr>
            <w:r>
              <w:rPr>
                <w:rFonts w:ascii="Calibri" w:eastAsia="Calibri" w:hAnsi="Calibri" w:cs="Calibri"/>
                <w:color w:val="111111"/>
              </w:rPr>
              <w:t>TC</w:t>
            </w:r>
          </w:p>
        </w:tc>
        <w:tc>
          <w:tcPr>
            <w:tcW w:w="7160" w:type="dxa"/>
          </w:tcPr>
          <w:p w14:paraId="38F5EC50" w14:textId="77777777" w:rsidR="00F12483" w:rsidRDefault="00F12483" w:rsidP="005F7955">
            <w:pPr>
              <w:spacing w:before="40" w:after="40"/>
              <w:ind w:left="170" w:right="100"/>
            </w:pPr>
            <w:r>
              <w:rPr>
                <w:rFonts w:ascii="Calibri" w:eastAsia="Calibri" w:hAnsi="Calibri" w:cs="Calibri"/>
                <w:color w:val="111111"/>
              </w:rPr>
              <w:t>Technical correction</w:t>
            </w:r>
          </w:p>
        </w:tc>
      </w:tr>
      <w:tr w:rsidR="00F12483" w14:paraId="3A7E0AD5" w14:textId="77777777" w:rsidTr="00E57FD9">
        <w:trPr>
          <w:trHeight w:val="360"/>
        </w:trPr>
        <w:tc>
          <w:tcPr>
            <w:tcW w:w="1560" w:type="dxa"/>
          </w:tcPr>
          <w:p w14:paraId="7FC71406" w14:textId="77777777" w:rsidR="00F12483" w:rsidRDefault="00F12483" w:rsidP="0021221A">
            <w:pPr>
              <w:spacing w:before="40" w:after="40"/>
              <w:ind w:left="100" w:right="100"/>
            </w:pPr>
            <w:r>
              <w:rPr>
                <w:rFonts w:ascii="Calibri" w:eastAsia="Calibri" w:hAnsi="Calibri" w:cs="Calibri"/>
                <w:color w:val="111111"/>
              </w:rPr>
              <w:t>TERT</w:t>
            </w:r>
          </w:p>
        </w:tc>
        <w:tc>
          <w:tcPr>
            <w:tcW w:w="7160" w:type="dxa"/>
          </w:tcPr>
          <w:p w14:paraId="1358388C" w14:textId="77777777" w:rsidR="00F12483" w:rsidRDefault="00F12483" w:rsidP="005F7955">
            <w:pPr>
              <w:spacing w:before="40" w:after="40"/>
              <w:ind w:left="170" w:right="100"/>
            </w:pPr>
            <w:r>
              <w:rPr>
                <w:rFonts w:ascii="Calibri" w:eastAsia="Calibri" w:hAnsi="Calibri" w:cs="Calibri"/>
                <w:color w:val="111111"/>
              </w:rPr>
              <w:t>Technical expert review team</w:t>
            </w:r>
          </w:p>
        </w:tc>
      </w:tr>
      <w:tr w:rsidR="00F12483" w14:paraId="765B5771" w14:textId="77777777" w:rsidTr="00E57FD9">
        <w:trPr>
          <w:trHeight w:val="360"/>
        </w:trPr>
        <w:tc>
          <w:tcPr>
            <w:tcW w:w="1560" w:type="dxa"/>
          </w:tcPr>
          <w:p w14:paraId="10725B28" w14:textId="77777777" w:rsidR="00F12483" w:rsidRDefault="00F12483" w:rsidP="0021221A">
            <w:pPr>
              <w:spacing w:before="40" w:after="40"/>
              <w:ind w:left="100" w:right="100"/>
            </w:pPr>
            <w:r>
              <w:rPr>
                <w:rFonts w:ascii="Calibri" w:eastAsia="Calibri" w:hAnsi="Calibri" w:cs="Calibri"/>
                <w:color w:val="111111"/>
              </w:rPr>
              <w:t>TSP</w:t>
            </w:r>
          </w:p>
        </w:tc>
        <w:tc>
          <w:tcPr>
            <w:tcW w:w="7160" w:type="dxa"/>
          </w:tcPr>
          <w:p w14:paraId="0E1FD5D7" w14:textId="77777777" w:rsidR="00F12483" w:rsidRDefault="00F12483" w:rsidP="005F7955">
            <w:pPr>
              <w:spacing w:before="40" w:after="40"/>
              <w:ind w:left="170" w:right="100"/>
            </w:pPr>
            <w:r>
              <w:rPr>
                <w:rFonts w:ascii="Calibri" w:eastAsia="Calibri" w:hAnsi="Calibri" w:cs="Calibri"/>
                <w:color w:val="111111"/>
              </w:rPr>
              <w:t>Total suspended particulates</w:t>
            </w:r>
          </w:p>
        </w:tc>
      </w:tr>
      <w:tr w:rsidR="00F12483" w:rsidRPr="00542A10" w14:paraId="72D56FC8" w14:textId="77777777" w:rsidTr="00E57FD9">
        <w:trPr>
          <w:trHeight w:val="340"/>
        </w:trPr>
        <w:tc>
          <w:tcPr>
            <w:tcW w:w="1560" w:type="dxa"/>
            <w:vAlign w:val="center"/>
          </w:tcPr>
          <w:p w14:paraId="29368F0D" w14:textId="77777777" w:rsidR="00F12483" w:rsidRPr="00542A10" w:rsidRDefault="00F12483" w:rsidP="00F12483">
            <w:pPr>
              <w:pStyle w:val="Betarp"/>
              <w:rPr>
                <w:highlight w:val="magenta"/>
              </w:rPr>
            </w:pPr>
          </w:p>
        </w:tc>
        <w:tc>
          <w:tcPr>
            <w:tcW w:w="7160" w:type="dxa"/>
            <w:vAlign w:val="center"/>
          </w:tcPr>
          <w:p w14:paraId="2D1AA916" w14:textId="77777777" w:rsidR="00F12483" w:rsidRPr="00542A10" w:rsidRDefault="00F12483" w:rsidP="00F12483">
            <w:pPr>
              <w:pStyle w:val="Betarp"/>
              <w:rPr>
                <w:highlight w:val="magenta"/>
              </w:rPr>
            </w:pPr>
          </w:p>
        </w:tc>
      </w:tr>
      <w:tr w:rsidR="00F12483" w:rsidRPr="00542A10" w14:paraId="2BC4206F" w14:textId="77777777" w:rsidTr="00E57FD9">
        <w:trPr>
          <w:trHeight w:val="340"/>
        </w:trPr>
        <w:tc>
          <w:tcPr>
            <w:tcW w:w="1560" w:type="dxa"/>
            <w:vAlign w:val="center"/>
          </w:tcPr>
          <w:p w14:paraId="012E2DBE" w14:textId="77777777" w:rsidR="00F12483" w:rsidRPr="00542A10" w:rsidRDefault="00F12483" w:rsidP="00F12483">
            <w:pPr>
              <w:pStyle w:val="Betarp"/>
              <w:rPr>
                <w:highlight w:val="magenta"/>
              </w:rPr>
            </w:pPr>
          </w:p>
        </w:tc>
        <w:tc>
          <w:tcPr>
            <w:tcW w:w="7160" w:type="dxa"/>
            <w:vAlign w:val="center"/>
          </w:tcPr>
          <w:p w14:paraId="639D7CA8" w14:textId="77777777" w:rsidR="00F12483" w:rsidRPr="00542A10" w:rsidRDefault="00F12483" w:rsidP="00F12483">
            <w:pPr>
              <w:pStyle w:val="Betarp"/>
              <w:rPr>
                <w:highlight w:val="magenta"/>
              </w:rPr>
            </w:pPr>
          </w:p>
        </w:tc>
      </w:tr>
    </w:tbl>
    <w:p w14:paraId="1E1D1ABE" w14:textId="77777777" w:rsidR="00830BFB" w:rsidRDefault="00830BFB" w:rsidP="005C228E">
      <w:pPr>
        <w:pStyle w:val="Betarp"/>
      </w:pPr>
    </w:p>
    <w:p w14:paraId="5D97AB63" w14:textId="77777777" w:rsidR="00DC5D3F" w:rsidRDefault="00DC5D3F">
      <w:pPr>
        <w:rPr>
          <w:rFonts w:asciiTheme="majorHAnsi" w:eastAsiaTheme="majorEastAsia" w:hAnsiTheme="majorHAnsi" w:cstheme="majorBidi"/>
          <w:color w:val="2E74B5" w:themeColor="accent1" w:themeShade="BF"/>
          <w:sz w:val="32"/>
          <w:szCs w:val="32"/>
        </w:rPr>
      </w:pPr>
      <w:r>
        <w:br w:type="page"/>
      </w:r>
    </w:p>
    <w:p w14:paraId="1E96CFEE" w14:textId="77777777" w:rsidR="009B1398" w:rsidRPr="009B1398" w:rsidRDefault="00E257A4" w:rsidP="009B1398">
      <w:pPr>
        <w:pStyle w:val="Antrat1"/>
      </w:pPr>
      <w:bookmarkStart w:id="1" w:name="_Toc53738303"/>
      <w:r w:rsidRPr="007B60E9">
        <w:t>Introduction</w:t>
      </w:r>
      <w:bookmarkEnd w:id="1"/>
    </w:p>
    <w:p w14:paraId="1AB3A492" w14:textId="1FC9DA31" w:rsidR="00177D3E" w:rsidRDefault="008365C6" w:rsidP="00584811">
      <w:pPr>
        <w:pStyle w:val="StandardNum"/>
        <w:ind w:left="0"/>
      </w:pPr>
      <w:r>
        <w:t>The r</w:t>
      </w:r>
      <w:r w:rsidR="008945B5" w:rsidRPr="00D74867">
        <w:t xml:space="preserve">eview of the air pollution emission data submitted by </w:t>
      </w:r>
      <w:r w:rsidR="001A599A">
        <w:t>Member States</w:t>
      </w:r>
      <w:r w:rsidR="003641FA">
        <w:t xml:space="preserve"> and the UK</w:t>
      </w:r>
      <w:r w:rsidR="003641FA">
        <w:rPr>
          <w:rStyle w:val="Puslapioinaosnuoroda"/>
        </w:rPr>
        <w:footnoteReference w:id="1"/>
      </w:r>
      <w:r w:rsidR="008945B5">
        <w:t xml:space="preserve"> under the European Union’s National Emissions </w:t>
      </w:r>
      <w:r w:rsidR="008C5911">
        <w:t>reduction Commitments</w:t>
      </w:r>
      <w:r w:rsidR="008945B5">
        <w:t xml:space="preserve"> Directive </w:t>
      </w:r>
      <w:r w:rsidR="008945B5" w:rsidRPr="00CF729F">
        <w:t>(</w:t>
      </w:r>
      <w:r w:rsidR="008945B5" w:rsidRPr="004B35E5">
        <w:t>Directive (EU) 2016/2284</w:t>
      </w:r>
      <w:r w:rsidR="00FD59E7">
        <w:rPr>
          <w:rStyle w:val="Puslapioinaosnuoroda"/>
        </w:rPr>
        <w:footnoteReference w:id="2"/>
      </w:r>
      <w:r w:rsidR="008945B5" w:rsidRPr="00CF729F">
        <w:t>)</w:t>
      </w:r>
      <w:r w:rsidR="008945B5">
        <w:t xml:space="preserve"> is defined</w:t>
      </w:r>
      <w:r>
        <w:t xml:space="preserve"> </w:t>
      </w:r>
      <w:r w:rsidR="008945B5">
        <w:t>in</w:t>
      </w:r>
      <w:r>
        <w:t xml:space="preserve"> </w:t>
      </w:r>
      <w:r w:rsidR="00177D3E">
        <w:t>Article 10(3):</w:t>
      </w:r>
    </w:p>
    <w:p w14:paraId="78BD36F9" w14:textId="77777777" w:rsidR="00177D3E" w:rsidRPr="0051248C" w:rsidRDefault="00177D3E" w:rsidP="00BF244E">
      <w:pPr>
        <w:rPr>
          <w:i/>
        </w:rPr>
      </w:pPr>
      <w:r w:rsidRPr="0051248C">
        <w:rPr>
          <w:i/>
        </w:rPr>
        <w:t>"The Commission, assisted by the European Environment Agency and in consultation with the Member States concerned, shall review the national emission inventory data in the first year of reporting and regularly thereafter. That review shall involve the following:</w:t>
      </w:r>
    </w:p>
    <w:p w14:paraId="0DF2E8AB" w14:textId="77777777" w:rsidR="00177D3E" w:rsidRPr="0051248C" w:rsidRDefault="00177D3E" w:rsidP="00BF244E">
      <w:pPr>
        <w:ind w:left="284"/>
        <w:rPr>
          <w:i/>
        </w:rPr>
      </w:pPr>
      <w:r w:rsidRPr="0051248C">
        <w:rPr>
          <w:i/>
        </w:rPr>
        <w:t>(a) checks to verify the transparency, accuracy, consistency, comparability and completeness of information submitted;</w:t>
      </w:r>
    </w:p>
    <w:p w14:paraId="3AD4A57D" w14:textId="77777777" w:rsidR="00177D3E" w:rsidRPr="0051248C" w:rsidRDefault="00177D3E" w:rsidP="00BF244E">
      <w:pPr>
        <w:ind w:left="284"/>
        <w:rPr>
          <w:i/>
        </w:rPr>
      </w:pPr>
      <w:r w:rsidRPr="0051248C">
        <w:rPr>
          <w:i/>
        </w:rPr>
        <w:t>(b) checks to identify cases where inventory data is prepared in a manner which is inconsistent with the requirements set out under international law, in particular under the LRTAP Convention;</w:t>
      </w:r>
    </w:p>
    <w:p w14:paraId="0ADD7D30" w14:textId="77777777" w:rsidR="00177D3E" w:rsidRPr="0051248C" w:rsidRDefault="00177D3E" w:rsidP="00BF244E">
      <w:pPr>
        <w:ind w:left="284"/>
        <w:rPr>
          <w:i/>
        </w:rPr>
      </w:pPr>
      <w:r w:rsidRPr="0051248C">
        <w:rPr>
          <w:i/>
        </w:rPr>
        <w:t>(c) where appropriate, calculation of the resulting technical corrections necessary, in consultation with the Member State concerned.</w:t>
      </w:r>
    </w:p>
    <w:p w14:paraId="6E184691" w14:textId="77777777" w:rsidR="00177D3E" w:rsidRPr="0051248C" w:rsidRDefault="00177D3E" w:rsidP="00635C20">
      <w:pPr>
        <w:pStyle w:val="StandardNum"/>
        <w:numPr>
          <w:ilvl w:val="0"/>
          <w:numId w:val="0"/>
        </w:numPr>
        <w:rPr>
          <w:i/>
        </w:rPr>
      </w:pPr>
      <w:r w:rsidRPr="0051248C">
        <w:rPr>
          <w:i/>
        </w:rPr>
        <w:t>Where the Member State concerned and the Commission are unable to reach an agreement on the necessity or on the content of the technical corrections pursuant to point (c), the Commission shall adopt a decision laying down the technical corrections to be applied by the Member State concerned.</w:t>
      </w:r>
      <w:r w:rsidR="005737FB" w:rsidRPr="0051248C">
        <w:rPr>
          <w:i/>
        </w:rPr>
        <w:t>”</w:t>
      </w:r>
    </w:p>
    <w:p w14:paraId="3458285B" w14:textId="1DC45CE6" w:rsidR="00800F2F" w:rsidRPr="00800F2F" w:rsidRDefault="00A67656" w:rsidP="008F6E30">
      <w:pPr>
        <w:pStyle w:val="StandardNum"/>
        <w:ind w:left="0"/>
      </w:pPr>
      <w:r w:rsidRPr="00C90068">
        <w:t xml:space="preserve">The </w:t>
      </w:r>
      <w:r>
        <w:t>technical</w:t>
      </w:r>
      <w:r w:rsidRPr="00C90068">
        <w:t xml:space="preserve"> review of </w:t>
      </w:r>
      <w:r w:rsidR="002A2E18">
        <w:t xml:space="preserve">the </w:t>
      </w:r>
      <w:r w:rsidR="009F0906" w:rsidRPr="009F0906">
        <w:t xml:space="preserve">National Emissions </w:t>
      </w:r>
      <w:r w:rsidR="003D1D47" w:rsidRPr="003D1D47">
        <w:t>reduction Commitment</w:t>
      </w:r>
      <w:r w:rsidR="008C5911">
        <w:t>s</w:t>
      </w:r>
      <w:r w:rsidR="009F0906" w:rsidRPr="009F0906">
        <w:t xml:space="preserve"> Directive </w:t>
      </w:r>
      <w:r w:rsidR="009F0906">
        <w:t>(</w:t>
      </w:r>
      <w:r w:rsidRPr="00C90068">
        <w:t>NECD</w:t>
      </w:r>
      <w:r w:rsidR="009F0906">
        <w:t>)</w:t>
      </w:r>
      <w:r w:rsidRPr="00C90068">
        <w:t xml:space="preserve"> inventories</w:t>
      </w:r>
      <w:r w:rsidR="00542A10">
        <w:t xml:space="preserve"> in 2020</w:t>
      </w:r>
      <w:r w:rsidR="00F42E21">
        <w:t xml:space="preserve"> </w:t>
      </w:r>
      <w:r w:rsidR="00962711">
        <w:t xml:space="preserve">(hereafter referred to as the ‘NECD Review 2020’) </w:t>
      </w:r>
      <w:r w:rsidR="00F42E21">
        <w:t xml:space="preserve">was undertaken in accordance with the </w:t>
      </w:r>
      <w:r w:rsidR="00E25196">
        <w:t>NECD R</w:t>
      </w:r>
      <w:r w:rsidR="008F6E30" w:rsidRPr="008F6E30">
        <w:t>eview a</w:t>
      </w:r>
      <w:r w:rsidRPr="008F6E30">
        <w:t>ir emission inventory review guidelines</w:t>
      </w:r>
      <w:r w:rsidR="0051248C">
        <w:t xml:space="preserve"> </w:t>
      </w:r>
      <w:r w:rsidR="00542A10">
        <w:t>established at the beginning of the project.</w:t>
      </w:r>
      <w:r w:rsidR="00C7208B">
        <w:t xml:space="preserve"> </w:t>
      </w:r>
    </w:p>
    <w:p w14:paraId="3510F251" w14:textId="77777777" w:rsidR="00C76A0E" w:rsidRDefault="00C76A0E">
      <w:pPr>
        <w:rPr>
          <w:rFonts w:asciiTheme="majorHAnsi" w:eastAsiaTheme="majorEastAsia" w:hAnsiTheme="majorHAnsi" w:cstheme="majorBidi"/>
          <w:color w:val="2E74B5" w:themeColor="accent1" w:themeShade="BF"/>
          <w:sz w:val="32"/>
          <w:szCs w:val="32"/>
        </w:rPr>
      </w:pPr>
      <w:r>
        <w:br w:type="page"/>
      </w:r>
    </w:p>
    <w:p w14:paraId="662CDD4C" w14:textId="77777777" w:rsidR="009A532C" w:rsidRPr="007B60E9" w:rsidRDefault="009A532C" w:rsidP="007B60E9">
      <w:pPr>
        <w:pStyle w:val="Antrat1"/>
      </w:pPr>
      <w:bookmarkStart w:id="2" w:name="_Toc53738304"/>
      <w:r w:rsidRPr="007B60E9">
        <w:t>Objectives of the review</w:t>
      </w:r>
      <w:bookmarkEnd w:id="2"/>
    </w:p>
    <w:p w14:paraId="76FC9761" w14:textId="775B1AC6" w:rsidR="008C5911" w:rsidRPr="00DA0D5E" w:rsidRDefault="008C5911" w:rsidP="00584811">
      <w:pPr>
        <w:pStyle w:val="StandardNum"/>
        <w:ind w:left="0"/>
      </w:pPr>
      <w:r w:rsidRPr="008C5911">
        <w:t>The general objective of the technical review of Member States’ and the UK NECD inventories as reported in February 2020 (and updated before 1 May 2020) was an improvement of transparency, consistency, comparability, completeness and accuracy of submitted data and as such the review will contribute to establishing accurate, reliable and verified emission inventories for all Member States and the UK.</w:t>
      </w:r>
    </w:p>
    <w:p w14:paraId="4AFA51CE" w14:textId="77777777" w:rsidR="00F479D3" w:rsidRPr="00F479D3" w:rsidRDefault="00F479D3" w:rsidP="002A314F">
      <w:pPr>
        <w:pStyle w:val="StandardNum"/>
        <w:ind w:left="0"/>
      </w:pPr>
      <w:r>
        <w:rPr>
          <w:sz w:val="23"/>
          <w:szCs w:val="23"/>
        </w:rPr>
        <w:t xml:space="preserve">The specific objectives of </w:t>
      </w:r>
      <w:r w:rsidR="00B714FE">
        <w:rPr>
          <w:sz w:val="23"/>
          <w:szCs w:val="23"/>
        </w:rPr>
        <w:t xml:space="preserve">the </w:t>
      </w:r>
      <w:r w:rsidR="002B2B14">
        <w:rPr>
          <w:sz w:val="23"/>
          <w:szCs w:val="23"/>
        </w:rPr>
        <w:t>NECD Review 2020</w:t>
      </w:r>
      <w:r w:rsidRPr="00F479D3">
        <w:rPr>
          <w:sz w:val="23"/>
          <w:szCs w:val="23"/>
        </w:rPr>
        <w:t xml:space="preserve"> </w:t>
      </w:r>
      <w:r>
        <w:rPr>
          <w:sz w:val="23"/>
          <w:szCs w:val="23"/>
        </w:rPr>
        <w:t>were:</w:t>
      </w:r>
    </w:p>
    <w:p w14:paraId="002134F7" w14:textId="097E3968" w:rsidR="00814ACC" w:rsidRPr="00814ACC" w:rsidRDefault="002A314F" w:rsidP="00C22DA6">
      <w:pPr>
        <w:pStyle w:val="Sraopastraipa"/>
        <w:numPr>
          <w:ilvl w:val="1"/>
          <w:numId w:val="1"/>
        </w:numPr>
        <w:ind w:left="1434" w:hanging="357"/>
        <w:contextualSpacing w:val="0"/>
        <w:jc w:val="both"/>
        <w:rPr>
          <w:rFonts w:ascii="Calibri" w:eastAsia="Times New Roman" w:hAnsi="Calibri" w:cs="Times New Roman"/>
          <w:bCs/>
          <w:lang w:eastAsia="en-GB"/>
        </w:rPr>
      </w:pPr>
      <w:r>
        <w:rPr>
          <w:rFonts w:ascii="Calibri" w:eastAsia="Times New Roman" w:hAnsi="Calibri" w:cs="Times New Roman"/>
          <w:bCs/>
          <w:lang w:eastAsia="en-GB"/>
        </w:rPr>
        <w:t>A</w:t>
      </w:r>
      <w:r w:rsidR="00814ACC" w:rsidRPr="00814ACC">
        <w:rPr>
          <w:rFonts w:ascii="Calibri" w:eastAsia="Times New Roman" w:hAnsi="Calibri" w:cs="Times New Roman"/>
          <w:bCs/>
          <w:lang w:eastAsia="en-GB"/>
        </w:rPr>
        <w:t xml:space="preserve"> detailed review to verify that </w:t>
      </w:r>
      <w:r w:rsidR="00814ACC">
        <w:t>Member States</w:t>
      </w:r>
      <w:r w:rsidR="00BF314F">
        <w:t xml:space="preserve"> and the UK</w:t>
      </w:r>
      <w:r w:rsidR="00814ACC" w:rsidRPr="00814ACC">
        <w:rPr>
          <w:rFonts w:ascii="Calibri" w:eastAsia="Times New Roman" w:hAnsi="Calibri" w:cs="Times New Roman"/>
          <w:bCs/>
          <w:lang w:eastAsia="en-GB"/>
        </w:rPr>
        <w:t xml:space="preserve"> have integrated </w:t>
      </w:r>
      <w:r w:rsidRPr="003B0A28">
        <w:t>all</w:t>
      </w:r>
      <w:r w:rsidR="00DC2B1F">
        <w:t xml:space="preserve"> </w:t>
      </w:r>
      <w:r>
        <w:t xml:space="preserve">of the </w:t>
      </w:r>
      <w:r w:rsidRPr="003B0A28">
        <w:t xml:space="preserve">recommendations, </w:t>
      </w:r>
      <w:r w:rsidR="003D1D47">
        <w:t>unquantified</w:t>
      </w:r>
      <w:r w:rsidR="003D1D47" w:rsidRPr="003B0A28">
        <w:t xml:space="preserve"> </w:t>
      </w:r>
      <w:r w:rsidRPr="003B0A28">
        <w:t>potential technical corrections</w:t>
      </w:r>
      <w:r>
        <w:t>, technical corrections</w:t>
      </w:r>
      <w:r w:rsidRPr="003B0A28">
        <w:t xml:space="preserve"> and r</w:t>
      </w:r>
      <w:r>
        <w:t>evised estimates from the NECD R</w:t>
      </w:r>
      <w:r w:rsidRPr="003B0A28">
        <w:t>eview 201</w:t>
      </w:r>
      <w:r>
        <w:t>9</w:t>
      </w:r>
      <w:r w:rsidR="00B8596C">
        <w:rPr>
          <w:rStyle w:val="Puslapioinaosnuoroda"/>
        </w:rPr>
        <w:footnoteReference w:id="3"/>
      </w:r>
      <w:r w:rsidR="00C22DA6">
        <w:t>.</w:t>
      </w:r>
    </w:p>
    <w:p w14:paraId="14F99524" w14:textId="10F6D7FD" w:rsidR="00C22DA6" w:rsidRPr="00C22DA6" w:rsidRDefault="002A314F" w:rsidP="00C22DA6">
      <w:pPr>
        <w:pStyle w:val="Sraopastraipa"/>
        <w:numPr>
          <w:ilvl w:val="1"/>
          <w:numId w:val="1"/>
        </w:numPr>
        <w:ind w:left="1434" w:hanging="357"/>
        <w:contextualSpacing w:val="0"/>
        <w:jc w:val="both"/>
        <w:rPr>
          <w:rFonts w:ascii="Calibri" w:eastAsia="Times New Roman" w:hAnsi="Calibri" w:cs="Times New Roman"/>
          <w:bCs/>
          <w:lang w:eastAsia="en-GB"/>
        </w:rPr>
      </w:pPr>
      <w:r>
        <w:rPr>
          <w:rFonts w:ascii="Calibri" w:eastAsia="Times New Roman" w:hAnsi="Calibri" w:cs="Times New Roman"/>
          <w:bCs/>
          <w:lang w:eastAsia="en-GB"/>
        </w:rPr>
        <w:t>A review of the recalculations</w:t>
      </w:r>
      <w:r w:rsidR="00C22DA6">
        <w:rPr>
          <w:rFonts w:ascii="Calibri" w:eastAsia="Times New Roman" w:hAnsi="Calibri" w:cs="Times New Roman"/>
          <w:bCs/>
          <w:lang w:eastAsia="en-GB"/>
        </w:rPr>
        <w:t xml:space="preserve"> between the 2019 and 2020 national inventory submissions </w:t>
      </w:r>
      <w:r>
        <w:rPr>
          <w:rFonts w:ascii="Calibri" w:eastAsia="Times New Roman" w:hAnsi="Calibri" w:cs="Times New Roman"/>
          <w:bCs/>
          <w:lang w:eastAsia="en-GB"/>
        </w:rPr>
        <w:t xml:space="preserve"> </w:t>
      </w:r>
      <w:r w:rsidR="00C22DA6">
        <w:rPr>
          <w:rFonts w:ascii="Calibri" w:eastAsia="Times New Roman" w:hAnsi="Calibri" w:cs="Times New Roman"/>
          <w:bCs/>
          <w:lang w:eastAsia="en-GB"/>
        </w:rPr>
        <w:t xml:space="preserve">for the pollutants </w:t>
      </w:r>
      <w:r w:rsidR="00616284" w:rsidRPr="00616284">
        <w:rPr>
          <w:rFonts w:ascii="Calibri" w:eastAsia="Times New Roman" w:hAnsi="Calibri" w:cs="Times New Roman"/>
          <w:bCs/>
          <w:lang w:eastAsia="en-GB"/>
        </w:rPr>
        <w:t>NO</w:t>
      </w:r>
      <w:r w:rsidR="00616284" w:rsidRPr="00616284">
        <w:rPr>
          <w:rFonts w:ascii="Calibri" w:eastAsia="Times New Roman" w:hAnsi="Calibri" w:cs="Times New Roman"/>
          <w:bCs/>
          <w:vertAlign w:val="subscript"/>
          <w:lang w:eastAsia="en-GB"/>
        </w:rPr>
        <w:t>X</w:t>
      </w:r>
      <w:r w:rsidR="00C22DA6" w:rsidRPr="00C22DA6">
        <w:rPr>
          <w:rFonts w:ascii="Calibri" w:eastAsia="Times New Roman" w:hAnsi="Calibri" w:cs="Times New Roman"/>
          <w:bCs/>
          <w:lang w:eastAsia="en-GB"/>
        </w:rPr>
        <w:t xml:space="preserve">, NMVOC, </w:t>
      </w:r>
      <w:r w:rsidR="00616284" w:rsidRPr="00616284">
        <w:rPr>
          <w:rFonts w:ascii="Calibri" w:eastAsia="Times New Roman" w:hAnsi="Calibri" w:cs="Times New Roman"/>
          <w:bCs/>
          <w:lang w:eastAsia="en-GB"/>
        </w:rPr>
        <w:t>SO</w:t>
      </w:r>
      <w:r w:rsidR="00616284" w:rsidRPr="00616284">
        <w:rPr>
          <w:rFonts w:ascii="Calibri" w:eastAsia="Times New Roman" w:hAnsi="Calibri" w:cs="Times New Roman"/>
          <w:bCs/>
          <w:vertAlign w:val="subscript"/>
          <w:lang w:eastAsia="en-GB"/>
        </w:rPr>
        <w:t>2</w:t>
      </w:r>
      <w:r w:rsidR="00C22DA6" w:rsidRPr="00C22DA6">
        <w:rPr>
          <w:rFonts w:ascii="Calibri" w:eastAsia="Times New Roman" w:hAnsi="Calibri" w:cs="Times New Roman"/>
          <w:bCs/>
          <w:lang w:eastAsia="en-GB"/>
        </w:rPr>
        <w:t xml:space="preserve">, </w:t>
      </w:r>
      <w:r w:rsidR="00616284" w:rsidRPr="00616284">
        <w:rPr>
          <w:rFonts w:ascii="Calibri" w:eastAsia="Times New Roman" w:hAnsi="Calibri" w:cs="Times New Roman"/>
          <w:bCs/>
          <w:lang w:eastAsia="en-GB"/>
        </w:rPr>
        <w:t>NH</w:t>
      </w:r>
      <w:r w:rsidR="00616284" w:rsidRPr="00616284">
        <w:rPr>
          <w:rFonts w:ascii="Calibri" w:eastAsia="Times New Roman" w:hAnsi="Calibri" w:cs="Times New Roman"/>
          <w:bCs/>
          <w:vertAlign w:val="subscript"/>
          <w:lang w:eastAsia="en-GB"/>
        </w:rPr>
        <w:t>3</w:t>
      </w:r>
      <w:r w:rsidR="00C22DA6" w:rsidRPr="00C22DA6">
        <w:rPr>
          <w:rFonts w:ascii="Calibri" w:eastAsia="Times New Roman" w:hAnsi="Calibri" w:cs="Times New Roman"/>
          <w:bCs/>
          <w:lang w:eastAsia="en-GB"/>
        </w:rPr>
        <w:t xml:space="preserve">, </w:t>
      </w:r>
      <w:r w:rsidR="00616284" w:rsidRPr="00616284">
        <w:rPr>
          <w:rFonts w:ascii="Calibri" w:eastAsia="Times New Roman" w:hAnsi="Calibri" w:cs="Times New Roman"/>
          <w:bCs/>
          <w:lang w:eastAsia="en-GB"/>
        </w:rPr>
        <w:t>PM</w:t>
      </w:r>
      <w:r w:rsidR="00616284" w:rsidRPr="00616284">
        <w:rPr>
          <w:rFonts w:ascii="Calibri" w:eastAsia="Times New Roman" w:hAnsi="Calibri" w:cs="Times New Roman"/>
          <w:bCs/>
          <w:vertAlign w:val="subscript"/>
          <w:lang w:eastAsia="en-GB"/>
        </w:rPr>
        <w:t>2.5</w:t>
      </w:r>
      <w:r w:rsidR="00C22DA6" w:rsidRPr="00610486">
        <w:rPr>
          <w:rFonts w:ascii="Calibri" w:eastAsia="Times New Roman" w:hAnsi="Calibri" w:cs="Times New Roman"/>
          <w:bCs/>
          <w:vertAlign w:val="subscript"/>
          <w:lang w:eastAsia="en-GB"/>
        </w:rPr>
        <w:t xml:space="preserve"> </w:t>
      </w:r>
      <w:r w:rsidR="00C22DA6">
        <w:rPr>
          <w:rFonts w:ascii="Calibri" w:eastAsia="Times New Roman" w:hAnsi="Calibri" w:cs="Times New Roman"/>
          <w:bCs/>
          <w:lang w:eastAsia="en-GB"/>
        </w:rPr>
        <w:t xml:space="preserve">for the years 2000-2017 and for the pollutants </w:t>
      </w:r>
      <w:r w:rsidR="00C22DA6" w:rsidRPr="00C22DA6">
        <w:rPr>
          <w:rFonts w:ascii="Calibri" w:eastAsia="Times New Roman" w:hAnsi="Calibri" w:cs="Times New Roman"/>
          <w:bCs/>
          <w:lang w:eastAsia="en-GB"/>
        </w:rPr>
        <w:t xml:space="preserve">PAHs (total </w:t>
      </w:r>
      <w:r w:rsidR="00C22DA6">
        <w:rPr>
          <w:rFonts w:ascii="Calibri" w:eastAsia="Times New Roman" w:hAnsi="Calibri" w:cs="Times New Roman"/>
          <w:bCs/>
          <w:lang w:eastAsia="en-GB"/>
        </w:rPr>
        <w:t xml:space="preserve">and </w:t>
      </w:r>
      <w:r w:rsidR="00C22DA6" w:rsidRPr="00C22DA6">
        <w:rPr>
          <w:rFonts w:ascii="Calibri" w:eastAsia="Times New Roman" w:hAnsi="Calibri" w:cs="Times New Roman"/>
          <w:bCs/>
          <w:lang w:eastAsia="en-GB"/>
        </w:rPr>
        <w:t>individual PAHs), dioxins/furans, PCBs, HCB, Cd, Hg, Pb</w:t>
      </w:r>
      <w:r w:rsidR="00C22DA6">
        <w:rPr>
          <w:rFonts w:ascii="Calibri" w:eastAsia="Times New Roman" w:hAnsi="Calibri" w:cs="Times New Roman"/>
          <w:bCs/>
          <w:lang w:eastAsia="en-GB"/>
        </w:rPr>
        <w:t xml:space="preserve"> for the years </w:t>
      </w:r>
      <w:r w:rsidR="00C22DA6">
        <w:rPr>
          <w:rFonts w:eastAsia="Times New Roman"/>
        </w:rPr>
        <w:t>1990, 2005, 2016 and 2017.</w:t>
      </w:r>
    </w:p>
    <w:p w14:paraId="45DB3C67" w14:textId="56EE4B6F" w:rsidR="002A314F" w:rsidRDefault="008C5911" w:rsidP="00C22DA6">
      <w:pPr>
        <w:pStyle w:val="Sraopastraipa"/>
        <w:numPr>
          <w:ilvl w:val="1"/>
          <w:numId w:val="1"/>
        </w:numPr>
        <w:ind w:left="1434" w:hanging="357"/>
        <w:contextualSpacing w:val="0"/>
        <w:jc w:val="both"/>
        <w:rPr>
          <w:rFonts w:ascii="Calibri" w:eastAsia="Times New Roman" w:hAnsi="Calibri" w:cs="Times New Roman"/>
          <w:bCs/>
          <w:lang w:eastAsia="en-GB"/>
        </w:rPr>
      </w:pPr>
      <w:r>
        <w:rPr>
          <w:rFonts w:ascii="Calibri" w:eastAsia="Times New Roman" w:hAnsi="Calibri" w:cs="Times New Roman"/>
          <w:bCs/>
          <w:lang w:eastAsia="en-GB"/>
        </w:rPr>
        <w:t xml:space="preserve">A review of the timeseries </w:t>
      </w:r>
      <w:r w:rsidR="002A314F">
        <w:rPr>
          <w:rFonts w:ascii="Calibri" w:eastAsia="Times New Roman" w:hAnsi="Calibri" w:cs="Times New Roman"/>
          <w:bCs/>
          <w:lang w:eastAsia="en-GB"/>
        </w:rPr>
        <w:t xml:space="preserve">consistency </w:t>
      </w:r>
      <w:r w:rsidR="00C22DA6">
        <w:rPr>
          <w:rFonts w:ascii="Calibri" w:eastAsia="Times New Roman" w:hAnsi="Calibri" w:cs="Times New Roman"/>
          <w:bCs/>
          <w:lang w:eastAsia="en-GB"/>
        </w:rPr>
        <w:t xml:space="preserve">between the years 2017 and 2018 </w:t>
      </w:r>
      <w:r w:rsidR="002A314F">
        <w:rPr>
          <w:rFonts w:ascii="Calibri" w:eastAsia="Times New Roman" w:hAnsi="Calibri" w:cs="Times New Roman"/>
          <w:bCs/>
          <w:lang w:eastAsia="en-GB"/>
        </w:rPr>
        <w:t>for the pollutants</w:t>
      </w:r>
      <w:r w:rsidR="00C22DA6">
        <w:rPr>
          <w:rFonts w:ascii="Calibri" w:eastAsia="Times New Roman" w:hAnsi="Calibri" w:cs="Times New Roman"/>
          <w:bCs/>
          <w:lang w:eastAsia="en-GB"/>
        </w:rPr>
        <w:t>:</w:t>
      </w:r>
      <w:r w:rsidR="002A314F">
        <w:rPr>
          <w:rFonts w:ascii="Calibri" w:eastAsia="Times New Roman" w:hAnsi="Calibri" w:cs="Times New Roman"/>
          <w:bCs/>
          <w:lang w:eastAsia="en-GB"/>
        </w:rPr>
        <w:t xml:space="preserve"> </w:t>
      </w:r>
      <w:r w:rsidR="00616284" w:rsidRPr="00616284">
        <w:rPr>
          <w:rFonts w:ascii="Calibri" w:eastAsia="Times New Roman" w:hAnsi="Calibri" w:cs="Times New Roman"/>
          <w:bCs/>
          <w:lang w:eastAsia="en-GB"/>
        </w:rPr>
        <w:t>NO</w:t>
      </w:r>
      <w:r w:rsidR="00616284" w:rsidRPr="00616284">
        <w:rPr>
          <w:rFonts w:ascii="Calibri" w:eastAsia="Times New Roman" w:hAnsi="Calibri" w:cs="Times New Roman"/>
          <w:bCs/>
          <w:vertAlign w:val="subscript"/>
          <w:lang w:eastAsia="en-GB"/>
        </w:rPr>
        <w:t>X</w:t>
      </w:r>
      <w:r w:rsidR="00C22DA6" w:rsidRPr="00C22DA6">
        <w:rPr>
          <w:rFonts w:ascii="Calibri" w:eastAsia="Times New Roman" w:hAnsi="Calibri" w:cs="Times New Roman"/>
          <w:bCs/>
          <w:lang w:eastAsia="en-GB"/>
        </w:rPr>
        <w:t xml:space="preserve">, NMVOC, </w:t>
      </w:r>
      <w:r w:rsidR="00616284" w:rsidRPr="00616284">
        <w:rPr>
          <w:rFonts w:ascii="Calibri" w:eastAsia="Times New Roman" w:hAnsi="Calibri" w:cs="Times New Roman"/>
          <w:bCs/>
          <w:lang w:eastAsia="en-GB"/>
        </w:rPr>
        <w:t>SO</w:t>
      </w:r>
      <w:r w:rsidR="00616284" w:rsidRPr="00616284">
        <w:rPr>
          <w:rFonts w:ascii="Calibri" w:eastAsia="Times New Roman" w:hAnsi="Calibri" w:cs="Times New Roman"/>
          <w:bCs/>
          <w:vertAlign w:val="subscript"/>
          <w:lang w:eastAsia="en-GB"/>
        </w:rPr>
        <w:t>2</w:t>
      </w:r>
      <w:r w:rsidR="00C22DA6" w:rsidRPr="00C22DA6">
        <w:rPr>
          <w:rFonts w:ascii="Calibri" w:eastAsia="Times New Roman" w:hAnsi="Calibri" w:cs="Times New Roman"/>
          <w:bCs/>
          <w:lang w:eastAsia="en-GB"/>
        </w:rPr>
        <w:t xml:space="preserve">, </w:t>
      </w:r>
      <w:r w:rsidR="00616284" w:rsidRPr="00616284">
        <w:rPr>
          <w:rFonts w:ascii="Calibri" w:eastAsia="Times New Roman" w:hAnsi="Calibri" w:cs="Times New Roman"/>
          <w:bCs/>
          <w:lang w:eastAsia="en-GB"/>
        </w:rPr>
        <w:t>NH</w:t>
      </w:r>
      <w:r w:rsidR="00616284" w:rsidRPr="00616284">
        <w:rPr>
          <w:rFonts w:ascii="Calibri" w:eastAsia="Times New Roman" w:hAnsi="Calibri" w:cs="Times New Roman"/>
          <w:bCs/>
          <w:vertAlign w:val="subscript"/>
          <w:lang w:eastAsia="en-GB"/>
        </w:rPr>
        <w:t>3</w:t>
      </w:r>
      <w:r w:rsidR="00C22DA6" w:rsidRPr="00C22DA6">
        <w:rPr>
          <w:rFonts w:ascii="Calibri" w:eastAsia="Times New Roman" w:hAnsi="Calibri" w:cs="Times New Roman"/>
          <w:bCs/>
          <w:lang w:eastAsia="en-GB"/>
        </w:rPr>
        <w:t xml:space="preserve">, </w:t>
      </w:r>
      <w:r w:rsidR="00616284" w:rsidRPr="00616284">
        <w:rPr>
          <w:rFonts w:ascii="Calibri" w:eastAsia="Times New Roman" w:hAnsi="Calibri" w:cs="Times New Roman"/>
          <w:bCs/>
          <w:lang w:eastAsia="en-GB"/>
        </w:rPr>
        <w:t>PM</w:t>
      </w:r>
      <w:r w:rsidR="00616284" w:rsidRPr="00616284">
        <w:rPr>
          <w:rFonts w:ascii="Calibri" w:eastAsia="Times New Roman" w:hAnsi="Calibri" w:cs="Times New Roman"/>
          <w:bCs/>
          <w:vertAlign w:val="subscript"/>
          <w:lang w:eastAsia="en-GB"/>
        </w:rPr>
        <w:t>2.5</w:t>
      </w:r>
      <w:r w:rsidR="00C22DA6">
        <w:rPr>
          <w:rFonts w:ascii="Calibri" w:eastAsia="Times New Roman" w:hAnsi="Calibri" w:cs="Times New Roman"/>
          <w:bCs/>
          <w:lang w:eastAsia="en-GB"/>
        </w:rPr>
        <w:t xml:space="preserve">, </w:t>
      </w:r>
      <w:r w:rsidR="00C22DA6" w:rsidRPr="00C22DA6">
        <w:rPr>
          <w:rFonts w:ascii="Calibri" w:eastAsia="Times New Roman" w:hAnsi="Calibri" w:cs="Times New Roman"/>
          <w:bCs/>
          <w:lang w:eastAsia="en-GB"/>
        </w:rPr>
        <w:t xml:space="preserve">PAHs (total </w:t>
      </w:r>
      <w:r w:rsidR="00C22DA6">
        <w:rPr>
          <w:rFonts w:ascii="Calibri" w:eastAsia="Times New Roman" w:hAnsi="Calibri" w:cs="Times New Roman"/>
          <w:bCs/>
          <w:lang w:eastAsia="en-GB"/>
        </w:rPr>
        <w:t xml:space="preserve">and </w:t>
      </w:r>
      <w:r w:rsidR="00C22DA6" w:rsidRPr="00C22DA6">
        <w:rPr>
          <w:rFonts w:ascii="Calibri" w:eastAsia="Times New Roman" w:hAnsi="Calibri" w:cs="Times New Roman"/>
          <w:bCs/>
          <w:lang w:eastAsia="en-GB"/>
        </w:rPr>
        <w:t>individual PAHs), dioxins/furans, PCBs, HCB, Cd, Hg, Pb</w:t>
      </w:r>
      <w:r w:rsidR="00C22DA6">
        <w:rPr>
          <w:rFonts w:ascii="Calibri" w:eastAsia="Times New Roman" w:hAnsi="Calibri" w:cs="Times New Roman"/>
          <w:bCs/>
          <w:lang w:eastAsia="en-GB"/>
        </w:rPr>
        <w:t>.</w:t>
      </w:r>
    </w:p>
    <w:p w14:paraId="06A917B7" w14:textId="481940C4" w:rsidR="00ED50E3" w:rsidRPr="00814ACC" w:rsidRDefault="00FD59E7" w:rsidP="00C22DA6">
      <w:pPr>
        <w:pStyle w:val="Sraopastraipa"/>
        <w:numPr>
          <w:ilvl w:val="1"/>
          <w:numId w:val="1"/>
        </w:numPr>
        <w:ind w:left="1434" w:hanging="357"/>
        <w:contextualSpacing w:val="0"/>
        <w:jc w:val="both"/>
        <w:rPr>
          <w:rFonts w:ascii="Calibri" w:eastAsia="Times New Roman" w:hAnsi="Calibri" w:cs="Times New Roman"/>
          <w:bCs/>
          <w:lang w:eastAsia="en-GB"/>
        </w:rPr>
      </w:pPr>
      <w:r>
        <w:rPr>
          <w:rFonts w:ascii="Calibri" w:eastAsia="Times New Roman" w:hAnsi="Calibri" w:cs="Times New Roman"/>
          <w:bCs/>
          <w:lang w:eastAsia="en-GB"/>
        </w:rPr>
        <w:t>A</w:t>
      </w:r>
      <w:r w:rsidR="00E547EB" w:rsidRPr="00E547EB">
        <w:rPr>
          <w:rFonts w:ascii="Calibri" w:eastAsia="Times New Roman" w:hAnsi="Calibri" w:cs="Times New Roman"/>
          <w:bCs/>
          <w:lang w:eastAsia="en-GB"/>
        </w:rPr>
        <w:t xml:space="preserve"> review of national gridded data of emissions and large point sources</w:t>
      </w:r>
      <w:r>
        <w:rPr>
          <w:rFonts w:ascii="Calibri" w:eastAsia="Times New Roman" w:hAnsi="Calibri" w:cs="Times New Roman"/>
          <w:bCs/>
          <w:lang w:eastAsia="en-GB"/>
        </w:rPr>
        <w:t xml:space="preserve"> (LPS)</w:t>
      </w:r>
      <w:r w:rsidR="002A314F">
        <w:rPr>
          <w:rFonts w:ascii="Calibri" w:eastAsia="Times New Roman" w:hAnsi="Calibri" w:cs="Times New Roman"/>
          <w:bCs/>
          <w:lang w:eastAsia="en-GB"/>
        </w:rPr>
        <w:t xml:space="preserve"> for the year 2015</w:t>
      </w:r>
      <w:r w:rsidR="008C5911">
        <w:rPr>
          <w:rFonts w:ascii="Calibri" w:eastAsia="Times New Roman" w:hAnsi="Calibri" w:cs="Times New Roman"/>
          <w:bCs/>
          <w:lang w:eastAsia="en-GB"/>
        </w:rPr>
        <w:t xml:space="preserve"> submitted until 15 May 2020</w:t>
      </w:r>
      <w:r w:rsidR="00C22DA6">
        <w:rPr>
          <w:rFonts w:ascii="Calibri" w:eastAsia="Times New Roman" w:hAnsi="Calibri" w:cs="Times New Roman"/>
          <w:bCs/>
          <w:lang w:eastAsia="en-GB"/>
        </w:rPr>
        <w:t>.</w:t>
      </w:r>
    </w:p>
    <w:p w14:paraId="1FFF7A6F" w14:textId="668CC0C4" w:rsidR="00C92196" w:rsidRDefault="002A314F" w:rsidP="00A27936">
      <w:pPr>
        <w:pStyle w:val="StandardNum"/>
        <w:numPr>
          <w:ilvl w:val="1"/>
          <w:numId w:val="1"/>
        </w:numPr>
      </w:pPr>
      <w:r>
        <w:t xml:space="preserve">In </w:t>
      </w:r>
      <w:r w:rsidRPr="003B0A28">
        <w:t>accordance with the requirements of the NECD (Article 5</w:t>
      </w:r>
      <w:r w:rsidR="00B8596C">
        <w:t xml:space="preserve"> and Annex IV</w:t>
      </w:r>
      <w:r w:rsidRPr="003B0A28">
        <w:t>)</w:t>
      </w:r>
      <w:r>
        <w:t xml:space="preserve"> and in line with the “</w:t>
      </w:r>
      <w:r w:rsidRPr="003B0A28">
        <w:t>Technic</w:t>
      </w:r>
      <w:r>
        <w:t>al guidance for Parties making adjustment a</w:t>
      </w:r>
      <w:r w:rsidRPr="003B0A28">
        <w:t xml:space="preserve">pplications and for the </w:t>
      </w:r>
      <w:r>
        <w:t>expert r</w:t>
      </w:r>
      <w:r w:rsidRPr="003B0A28">
        <w:t>ev</w:t>
      </w:r>
      <w:r>
        <w:t>iew of adjustment applications (</w:t>
      </w:r>
      <w:hyperlink r:id="rId11" w:tgtFrame="_blank" w:tooltip="Initiates file download" w:history="1">
        <w:r w:rsidRPr="003B0A28">
          <w:t>ECE/EB.Air/130</w:t>
        </w:r>
      </w:hyperlink>
      <w:r>
        <w:t>)”</w:t>
      </w:r>
      <w:r w:rsidRPr="003B0A28">
        <w:rPr>
          <w:rStyle w:val="Puslapioinaosnuoroda"/>
        </w:rPr>
        <w:footnoteReference w:id="4"/>
      </w:r>
      <w:r>
        <w:t xml:space="preserve">, </w:t>
      </w:r>
      <w:r w:rsidR="00F81CCC" w:rsidRPr="00F81CCC">
        <w:t>an expert review of</w:t>
      </w:r>
      <w:r w:rsidR="00FD59E7">
        <w:t>:</w:t>
      </w:r>
    </w:p>
    <w:p w14:paraId="2708BB95" w14:textId="77777777" w:rsidR="00C92196" w:rsidRDefault="00C22DA6" w:rsidP="00A27936">
      <w:pPr>
        <w:pStyle w:val="StandardNum"/>
        <w:numPr>
          <w:ilvl w:val="2"/>
          <w:numId w:val="1"/>
        </w:numPr>
      </w:pPr>
      <w:r>
        <w:t>N</w:t>
      </w:r>
      <w:r w:rsidR="00F81CCC" w:rsidRPr="00F81CCC">
        <w:t>ew adjustment applications submitted in 20</w:t>
      </w:r>
      <w:r w:rsidR="00320D7E">
        <w:t>20</w:t>
      </w:r>
      <w:r w:rsidR="00F81CCC" w:rsidRPr="00F81CCC">
        <w:t>, not submitted and reviewed yet in 201</w:t>
      </w:r>
      <w:r w:rsidR="00320D7E">
        <w:t>9</w:t>
      </w:r>
      <w:r w:rsidR="00FA0D62">
        <w:t xml:space="preserve"> under the</w:t>
      </w:r>
      <w:r w:rsidR="00F81CCC" w:rsidRPr="00F81CCC">
        <w:t xml:space="preserve"> NECD, including the review of the supporting documentation as requested </w:t>
      </w:r>
      <w:r w:rsidR="00FA0D62">
        <w:t>in part 4 of Annex IV of the</w:t>
      </w:r>
      <w:r w:rsidR="00F81CCC" w:rsidRPr="00F81CCC">
        <w:t xml:space="preserve"> NECD and an assessment of whether the adjustment application is consistent with the circumstances described therein</w:t>
      </w:r>
    </w:p>
    <w:p w14:paraId="15111301" w14:textId="77777777" w:rsidR="00F81CCC" w:rsidRPr="00FD59E7" w:rsidRDefault="00C22DA6" w:rsidP="00A27936">
      <w:pPr>
        <w:pStyle w:val="StandardNum"/>
        <w:numPr>
          <w:ilvl w:val="2"/>
          <w:numId w:val="1"/>
        </w:numPr>
      </w:pPr>
      <w:r>
        <w:t>T</w:t>
      </w:r>
      <w:r w:rsidR="00F81CCC" w:rsidRPr="00FD59E7">
        <w:t>he adjustment applications submitted in 20</w:t>
      </w:r>
      <w:r w:rsidR="00320D7E" w:rsidRPr="00FD59E7">
        <w:t>20</w:t>
      </w:r>
      <w:r w:rsidR="00F81CCC" w:rsidRPr="00FD59E7">
        <w:t xml:space="preserve">, that were already submitted, </w:t>
      </w:r>
      <w:r w:rsidR="00610486" w:rsidRPr="00FD59E7">
        <w:t>reviewed,</w:t>
      </w:r>
      <w:r w:rsidR="00F81CCC" w:rsidRPr="00FD59E7">
        <w:t xml:space="preserve"> and accepted in 201</w:t>
      </w:r>
      <w:r w:rsidR="00320D7E" w:rsidRPr="00FD59E7">
        <w:t>9</w:t>
      </w:r>
      <w:r w:rsidR="00FA0D62" w:rsidRPr="00FD59E7">
        <w:t xml:space="preserve"> under the</w:t>
      </w:r>
      <w:r w:rsidR="00320D7E" w:rsidRPr="00FD59E7">
        <w:t xml:space="preserve"> NECD</w:t>
      </w:r>
      <w:r w:rsidR="00F81CCC" w:rsidRPr="00FD59E7">
        <w:t>, with a focus on reviewing the consistency in the reporting of these adjustment applications</w:t>
      </w:r>
      <w:r w:rsidR="00962711" w:rsidRPr="00FD59E7">
        <w:t>.</w:t>
      </w:r>
    </w:p>
    <w:p w14:paraId="4B12D8F7" w14:textId="77777777" w:rsidR="00C76A0E" w:rsidRDefault="00C76A0E">
      <w:pPr>
        <w:rPr>
          <w:rFonts w:asciiTheme="majorHAnsi" w:eastAsiaTheme="majorEastAsia" w:hAnsiTheme="majorHAnsi" w:cstheme="majorBidi"/>
          <w:color w:val="2E74B5" w:themeColor="accent1" w:themeShade="BF"/>
          <w:sz w:val="32"/>
          <w:szCs w:val="32"/>
        </w:rPr>
      </w:pPr>
      <w:r>
        <w:br w:type="page"/>
      </w:r>
    </w:p>
    <w:p w14:paraId="2D1A6023" w14:textId="77777777" w:rsidR="009A532C" w:rsidRPr="007B60E9" w:rsidRDefault="009A532C" w:rsidP="007B60E9">
      <w:pPr>
        <w:pStyle w:val="Antrat1"/>
      </w:pPr>
      <w:bookmarkStart w:id="3" w:name="_Toc53738305"/>
      <w:r w:rsidRPr="007B60E9">
        <w:t>Review approach</w:t>
      </w:r>
      <w:r w:rsidR="002750E2" w:rsidRPr="007B60E9">
        <w:t>, team</w:t>
      </w:r>
      <w:r w:rsidRPr="007B60E9">
        <w:t xml:space="preserve"> and scope</w:t>
      </w:r>
      <w:bookmarkEnd w:id="3"/>
    </w:p>
    <w:p w14:paraId="67E6E179" w14:textId="3CDB7E6A" w:rsidR="001105C3" w:rsidRDefault="001105C3" w:rsidP="00256024">
      <w:pPr>
        <w:pStyle w:val="StandardNum"/>
        <w:ind w:left="0"/>
      </w:pPr>
      <w:r w:rsidRPr="001105C3">
        <w:t xml:space="preserve">The scope of the NECD </w:t>
      </w:r>
      <w:r w:rsidR="00E25196">
        <w:t>R</w:t>
      </w:r>
      <w:r w:rsidRPr="001105C3">
        <w:t>eview 20</w:t>
      </w:r>
      <w:r w:rsidR="00E121DC">
        <w:t>20</w:t>
      </w:r>
      <w:r w:rsidRPr="001105C3">
        <w:t xml:space="preserve"> is summarised in </w:t>
      </w:r>
      <w:r w:rsidRPr="001105C3">
        <w:fldChar w:fldCharType="begin"/>
      </w:r>
      <w:r w:rsidRPr="001105C3">
        <w:instrText xml:space="preserve"> REF _Ref506989374 \h </w:instrText>
      </w:r>
      <w:r>
        <w:instrText xml:space="preserve"> \* MERGEFORMAT </w:instrText>
      </w:r>
      <w:r w:rsidRPr="001105C3">
        <w:fldChar w:fldCharType="separate"/>
      </w:r>
      <w:r w:rsidR="00774955">
        <w:t xml:space="preserve">Table </w:t>
      </w:r>
      <w:r w:rsidR="00774955">
        <w:rPr>
          <w:noProof/>
        </w:rPr>
        <w:t>1</w:t>
      </w:r>
      <w:r w:rsidRPr="001105C3">
        <w:fldChar w:fldCharType="end"/>
      </w:r>
      <w:r w:rsidRPr="001105C3">
        <w:t>.</w:t>
      </w:r>
    </w:p>
    <w:p w14:paraId="1F64D918" w14:textId="02C408E2" w:rsidR="001105C3" w:rsidRPr="00B21DDF" w:rsidRDefault="001105C3" w:rsidP="001105C3">
      <w:pPr>
        <w:pStyle w:val="Antrat"/>
        <w:keepNext/>
        <w:keepLines/>
        <w:rPr>
          <w:color w:val="auto"/>
        </w:rPr>
      </w:pPr>
      <w:bookmarkStart w:id="4" w:name="_Ref506989374"/>
      <w:bookmarkStart w:id="5" w:name="_Toc53738315"/>
      <w:r>
        <w:t xml:space="preserve">Table </w:t>
      </w:r>
      <w:r w:rsidR="00312EA5">
        <w:rPr>
          <w:noProof/>
        </w:rPr>
        <w:fldChar w:fldCharType="begin"/>
      </w:r>
      <w:r w:rsidR="00312EA5">
        <w:rPr>
          <w:noProof/>
        </w:rPr>
        <w:instrText xml:space="preserve"> SEQ Table \* ARABIC </w:instrText>
      </w:r>
      <w:r w:rsidR="00312EA5">
        <w:rPr>
          <w:noProof/>
        </w:rPr>
        <w:fldChar w:fldCharType="separate"/>
      </w:r>
      <w:r w:rsidR="00774955">
        <w:rPr>
          <w:noProof/>
        </w:rPr>
        <w:t>1</w:t>
      </w:r>
      <w:r w:rsidR="00312EA5">
        <w:rPr>
          <w:noProof/>
        </w:rPr>
        <w:fldChar w:fldCharType="end"/>
      </w:r>
      <w:bookmarkEnd w:id="4"/>
      <w:r>
        <w:t xml:space="preserve">: Scope of the NECD </w:t>
      </w:r>
      <w:r w:rsidR="00FD59E7">
        <w:t xml:space="preserve">Review </w:t>
      </w:r>
      <w:r>
        <w:t>20</w:t>
      </w:r>
      <w:r w:rsidR="00E121DC">
        <w:t>20</w:t>
      </w:r>
      <w:r>
        <w:t xml:space="preserve"> (under </w:t>
      </w:r>
      <w:r w:rsidR="00E25196">
        <w:t xml:space="preserve">Directive </w:t>
      </w:r>
      <w:r w:rsidRPr="000973B0">
        <w:t>(EU) 2016/2284</w:t>
      </w:r>
      <w:r>
        <w:t>)</w:t>
      </w:r>
      <w:bookmarkEnd w:id="5"/>
    </w:p>
    <w:tbl>
      <w:tblPr>
        <w:tblStyle w:val="Lentelstinklelis"/>
        <w:tblW w:w="5224" w:type="pct"/>
        <w:tblLook w:val="04A0" w:firstRow="1" w:lastRow="0" w:firstColumn="1" w:lastColumn="0" w:noHBand="0" w:noVBand="1"/>
      </w:tblPr>
      <w:tblGrid>
        <w:gridCol w:w="1874"/>
        <w:gridCol w:w="3028"/>
        <w:gridCol w:w="4518"/>
      </w:tblGrid>
      <w:tr w:rsidR="001105C3" w14:paraId="1033D949" w14:textId="77777777" w:rsidTr="00B8596C">
        <w:trPr>
          <w:trHeight w:val="294"/>
        </w:trPr>
        <w:tc>
          <w:tcPr>
            <w:tcW w:w="995" w:type="pct"/>
            <w:shd w:val="clear" w:color="auto" w:fill="99CCFF"/>
            <w:vAlign w:val="center"/>
          </w:tcPr>
          <w:p w14:paraId="7AE9240A" w14:textId="77777777" w:rsidR="001105C3" w:rsidRPr="00A27936" w:rsidRDefault="001105C3" w:rsidP="000A576C">
            <w:pPr>
              <w:keepNext/>
              <w:keepLines/>
              <w:spacing w:line="480" w:lineRule="auto"/>
              <w:rPr>
                <w:rFonts w:eastAsia="Times New Roman"/>
                <w:b/>
                <w:bCs/>
                <w:color w:val="FFFFFF" w:themeColor="background1"/>
                <w:sz w:val="20"/>
                <w:szCs w:val="20"/>
                <w:lang w:eastAsia="en-GB"/>
              </w:rPr>
            </w:pPr>
            <w:r w:rsidRPr="00A27936">
              <w:rPr>
                <w:rFonts w:eastAsia="Times New Roman" w:cs="Times New Roman"/>
                <w:b/>
                <w:bCs/>
                <w:color w:val="FFFFFF" w:themeColor="background1"/>
                <w:sz w:val="20"/>
                <w:szCs w:val="20"/>
                <w:lang w:eastAsia="en-GB"/>
              </w:rPr>
              <w:t>Element</w:t>
            </w:r>
          </w:p>
        </w:tc>
        <w:tc>
          <w:tcPr>
            <w:tcW w:w="1607" w:type="pct"/>
            <w:shd w:val="clear" w:color="auto" w:fill="99CCFF"/>
            <w:vAlign w:val="center"/>
          </w:tcPr>
          <w:p w14:paraId="5D1887EC" w14:textId="77777777" w:rsidR="001105C3" w:rsidRPr="00A27936" w:rsidRDefault="001105C3" w:rsidP="000A576C">
            <w:pPr>
              <w:keepNext/>
              <w:keepLines/>
              <w:spacing w:line="480" w:lineRule="auto"/>
              <w:rPr>
                <w:rFonts w:eastAsia="Times New Roman"/>
                <w:b/>
                <w:bCs/>
                <w:color w:val="FFFFFF" w:themeColor="background1"/>
                <w:sz w:val="20"/>
                <w:szCs w:val="20"/>
                <w:lang w:eastAsia="en-GB"/>
              </w:rPr>
            </w:pPr>
            <w:r w:rsidRPr="00A27936">
              <w:rPr>
                <w:rFonts w:eastAsia="Times New Roman" w:cs="Times New Roman"/>
                <w:b/>
                <w:bCs/>
                <w:color w:val="FFFFFF" w:themeColor="background1"/>
                <w:sz w:val="20"/>
                <w:szCs w:val="20"/>
                <w:lang w:eastAsia="en-GB"/>
              </w:rPr>
              <w:t>Scope</w:t>
            </w:r>
          </w:p>
        </w:tc>
        <w:tc>
          <w:tcPr>
            <w:tcW w:w="2398" w:type="pct"/>
            <w:shd w:val="clear" w:color="auto" w:fill="99CCFF"/>
            <w:vAlign w:val="center"/>
          </w:tcPr>
          <w:p w14:paraId="11233EFB" w14:textId="77777777" w:rsidR="001105C3" w:rsidRPr="00A27936" w:rsidRDefault="001105C3" w:rsidP="000A576C">
            <w:pPr>
              <w:keepNext/>
              <w:keepLines/>
              <w:spacing w:line="480" w:lineRule="auto"/>
              <w:rPr>
                <w:rFonts w:eastAsia="Times New Roman"/>
                <w:b/>
                <w:bCs/>
                <w:color w:val="FFFFFF" w:themeColor="background1"/>
                <w:sz w:val="20"/>
                <w:szCs w:val="20"/>
                <w:lang w:eastAsia="en-GB"/>
              </w:rPr>
            </w:pPr>
            <w:r w:rsidRPr="00A27936">
              <w:rPr>
                <w:rFonts w:eastAsia="Times New Roman" w:cs="Times New Roman"/>
                <w:b/>
                <w:bCs/>
                <w:color w:val="FFFFFF" w:themeColor="background1"/>
                <w:sz w:val="20"/>
                <w:szCs w:val="20"/>
                <w:lang w:eastAsia="en-GB"/>
              </w:rPr>
              <w:t>Further information</w:t>
            </w:r>
          </w:p>
        </w:tc>
      </w:tr>
      <w:tr w:rsidR="001105C3" w:rsidRPr="002750E2" w14:paraId="1FA1FF96" w14:textId="77777777" w:rsidTr="00B8596C">
        <w:trPr>
          <w:trHeight w:val="1373"/>
        </w:trPr>
        <w:tc>
          <w:tcPr>
            <w:tcW w:w="995" w:type="pct"/>
            <w:vAlign w:val="center"/>
          </w:tcPr>
          <w:p w14:paraId="30237E8B" w14:textId="77777777" w:rsidR="001105C3" w:rsidRPr="00D8773D" w:rsidRDefault="00FD59E7" w:rsidP="000A576C">
            <w:pPr>
              <w:rPr>
                <w:sz w:val="20"/>
                <w:szCs w:val="20"/>
              </w:rPr>
            </w:pPr>
            <w:r>
              <w:rPr>
                <w:sz w:val="20"/>
                <w:szCs w:val="20"/>
              </w:rPr>
              <w:t>Geographical coverage</w:t>
            </w:r>
          </w:p>
        </w:tc>
        <w:tc>
          <w:tcPr>
            <w:tcW w:w="1607" w:type="pct"/>
            <w:vAlign w:val="center"/>
          </w:tcPr>
          <w:p w14:paraId="5CBA56BD" w14:textId="77777777" w:rsidR="001105C3" w:rsidRPr="00D8773D" w:rsidRDefault="001105C3" w:rsidP="000A576C">
            <w:pPr>
              <w:keepNext/>
              <w:keepLines/>
              <w:rPr>
                <w:sz w:val="20"/>
                <w:szCs w:val="20"/>
              </w:rPr>
            </w:pPr>
            <w:r w:rsidRPr="00D8773D">
              <w:rPr>
                <w:sz w:val="20"/>
                <w:szCs w:val="20"/>
              </w:rPr>
              <w:t xml:space="preserve">EU geographical coverage of the </w:t>
            </w:r>
            <w:r>
              <w:rPr>
                <w:sz w:val="20"/>
                <w:szCs w:val="20"/>
              </w:rPr>
              <w:t>Member States</w:t>
            </w:r>
            <w:r w:rsidR="00E121DC">
              <w:rPr>
                <w:sz w:val="20"/>
                <w:szCs w:val="20"/>
              </w:rPr>
              <w:t xml:space="preserve"> as of 1</w:t>
            </w:r>
            <w:r w:rsidR="00610486">
              <w:rPr>
                <w:sz w:val="20"/>
                <w:szCs w:val="20"/>
              </w:rPr>
              <w:t xml:space="preserve"> January </w:t>
            </w:r>
            <w:r w:rsidR="00E121DC">
              <w:rPr>
                <w:sz w:val="20"/>
                <w:szCs w:val="20"/>
              </w:rPr>
              <w:t>2020</w:t>
            </w:r>
          </w:p>
        </w:tc>
        <w:tc>
          <w:tcPr>
            <w:tcW w:w="2398" w:type="pct"/>
            <w:vAlign w:val="center"/>
          </w:tcPr>
          <w:p w14:paraId="739E6BFF" w14:textId="77777777" w:rsidR="001105C3" w:rsidRPr="00D8773D" w:rsidRDefault="00FD59E7" w:rsidP="000A576C">
            <w:pPr>
              <w:keepNext/>
              <w:keepLines/>
              <w:rPr>
                <w:sz w:val="20"/>
                <w:szCs w:val="20"/>
              </w:rPr>
            </w:pPr>
            <w:r w:rsidRPr="00FD59E7">
              <w:rPr>
                <w:sz w:val="20"/>
                <w:szCs w:val="20"/>
              </w:rPr>
              <w:t>Includes the geographical territory of the Member States, their exclusive economic zones and pollution control zones. Excludes the Canary Islands, the French overseas departments, Madeira, and the Azores</w:t>
            </w:r>
          </w:p>
        </w:tc>
      </w:tr>
      <w:tr w:rsidR="001105C3" w:rsidRPr="002750E2" w14:paraId="294F2842" w14:textId="77777777" w:rsidTr="00B8596C">
        <w:trPr>
          <w:trHeight w:val="2206"/>
        </w:trPr>
        <w:tc>
          <w:tcPr>
            <w:tcW w:w="995" w:type="pct"/>
            <w:vAlign w:val="center"/>
          </w:tcPr>
          <w:p w14:paraId="24D6F157" w14:textId="77777777" w:rsidR="001105C3" w:rsidRPr="00D8773D" w:rsidRDefault="001105C3" w:rsidP="000A576C">
            <w:pPr>
              <w:rPr>
                <w:sz w:val="20"/>
                <w:szCs w:val="20"/>
              </w:rPr>
            </w:pPr>
            <w:r w:rsidRPr="00D8773D">
              <w:rPr>
                <w:sz w:val="20"/>
                <w:szCs w:val="20"/>
              </w:rPr>
              <w:t>Years</w:t>
            </w:r>
          </w:p>
        </w:tc>
        <w:tc>
          <w:tcPr>
            <w:tcW w:w="1607" w:type="pct"/>
            <w:vAlign w:val="center"/>
          </w:tcPr>
          <w:p w14:paraId="64F553E5" w14:textId="77777777" w:rsidR="00256024" w:rsidRPr="00256024" w:rsidRDefault="00256024" w:rsidP="00256024">
            <w:pPr>
              <w:keepNext/>
              <w:keepLines/>
              <w:rPr>
                <w:b/>
                <w:sz w:val="20"/>
                <w:szCs w:val="20"/>
              </w:rPr>
            </w:pPr>
            <w:r w:rsidRPr="00256024">
              <w:rPr>
                <w:b/>
                <w:sz w:val="20"/>
                <w:szCs w:val="20"/>
              </w:rPr>
              <w:t>Main pollutants:</w:t>
            </w:r>
          </w:p>
          <w:p w14:paraId="32A0685C" w14:textId="77777777" w:rsidR="00256024" w:rsidRPr="00256024" w:rsidRDefault="00256024" w:rsidP="00256024">
            <w:pPr>
              <w:keepNext/>
              <w:keepLines/>
              <w:rPr>
                <w:sz w:val="20"/>
                <w:szCs w:val="20"/>
              </w:rPr>
            </w:pPr>
            <w:r w:rsidRPr="00256024">
              <w:rPr>
                <w:sz w:val="20"/>
                <w:szCs w:val="20"/>
              </w:rPr>
              <w:t>2005, 2010, 2015-1</w:t>
            </w:r>
            <w:r w:rsidR="00E121DC">
              <w:rPr>
                <w:sz w:val="20"/>
                <w:szCs w:val="20"/>
              </w:rPr>
              <w:t>8</w:t>
            </w:r>
          </w:p>
          <w:p w14:paraId="4ED0680A" w14:textId="77777777" w:rsidR="00256024" w:rsidRPr="00256024" w:rsidRDefault="00256024" w:rsidP="00256024">
            <w:pPr>
              <w:keepNext/>
              <w:keepLines/>
              <w:rPr>
                <w:b/>
                <w:sz w:val="20"/>
                <w:szCs w:val="20"/>
              </w:rPr>
            </w:pPr>
            <w:r w:rsidRPr="00256024">
              <w:rPr>
                <w:b/>
                <w:sz w:val="20"/>
                <w:szCs w:val="20"/>
              </w:rPr>
              <w:t>HMs and POPs:</w:t>
            </w:r>
          </w:p>
          <w:p w14:paraId="2C342093" w14:textId="77777777" w:rsidR="00256024" w:rsidRDefault="00256024" w:rsidP="00E121DC">
            <w:pPr>
              <w:keepNext/>
              <w:keepLines/>
              <w:rPr>
                <w:sz w:val="20"/>
                <w:szCs w:val="20"/>
              </w:rPr>
            </w:pPr>
            <w:r w:rsidRPr="00256024">
              <w:rPr>
                <w:sz w:val="20"/>
                <w:szCs w:val="20"/>
              </w:rPr>
              <w:t>1990, 2005, 2016-1</w:t>
            </w:r>
            <w:r w:rsidR="00E121DC">
              <w:rPr>
                <w:sz w:val="20"/>
                <w:szCs w:val="20"/>
              </w:rPr>
              <w:t>8</w:t>
            </w:r>
          </w:p>
          <w:p w14:paraId="66D2722E" w14:textId="77777777" w:rsidR="00FD59E7" w:rsidRDefault="00FD59E7" w:rsidP="00E121DC">
            <w:pPr>
              <w:keepNext/>
              <w:keepLines/>
              <w:rPr>
                <w:b/>
                <w:bCs/>
                <w:sz w:val="20"/>
                <w:szCs w:val="20"/>
              </w:rPr>
            </w:pPr>
            <w:r w:rsidRPr="00FD59E7">
              <w:rPr>
                <w:b/>
                <w:bCs/>
                <w:sz w:val="20"/>
                <w:szCs w:val="20"/>
              </w:rPr>
              <w:t>Gridded data:</w:t>
            </w:r>
          </w:p>
          <w:p w14:paraId="32733331" w14:textId="77777777" w:rsidR="00FD59E7" w:rsidRPr="00FD59E7" w:rsidRDefault="00FD59E7" w:rsidP="00E121DC">
            <w:pPr>
              <w:keepNext/>
              <w:keepLines/>
              <w:rPr>
                <w:sz w:val="20"/>
                <w:szCs w:val="20"/>
              </w:rPr>
            </w:pPr>
            <w:r>
              <w:rPr>
                <w:sz w:val="20"/>
                <w:szCs w:val="20"/>
              </w:rPr>
              <w:t>2015</w:t>
            </w:r>
          </w:p>
          <w:p w14:paraId="087FA889" w14:textId="77777777" w:rsidR="00FD59E7" w:rsidRDefault="00FD59E7" w:rsidP="00E121DC">
            <w:pPr>
              <w:keepNext/>
              <w:keepLines/>
              <w:rPr>
                <w:b/>
                <w:bCs/>
                <w:sz w:val="20"/>
                <w:szCs w:val="20"/>
              </w:rPr>
            </w:pPr>
            <w:r w:rsidRPr="00FD59E7">
              <w:rPr>
                <w:b/>
                <w:bCs/>
                <w:sz w:val="20"/>
                <w:szCs w:val="20"/>
              </w:rPr>
              <w:t>LPS data:</w:t>
            </w:r>
          </w:p>
          <w:p w14:paraId="2471390F" w14:textId="77777777" w:rsidR="00FD59E7" w:rsidRPr="00FD59E7" w:rsidRDefault="00FD59E7" w:rsidP="00E121DC">
            <w:pPr>
              <w:keepNext/>
              <w:keepLines/>
              <w:rPr>
                <w:sz w:val="20"/>
                <w:szCs w:val="20"/>
              </w:rPr>
            </w:pPr>
            <w:r>
              <w:rPr>
                <w:sz w:val="20"/>
                <w:szCs w:val="20"/>
              </w:rPr>
              <w:t>2015</w:t>
            </w:r>
          </w:p>
        </w:tc>
        <w:tc>
          <w:tcPr>
            <w:tcW w:w="2398" w:type="pct"/>
            <w:vAlign w:val="center"/>
          </w:tcPr>
          <w:p w14:paraId="26A6AB26" w14:textId="77777777" w:rsidR="007B5984" w:rsidRPr="00FD59E7" w:rsidRDefault="007B5984" w:rsidP="007B5984">
            <w:pPr>
              <w:keepNext/>
              <w:keepLines/>
              <w:rPr>
                <w:b/>
                <w:bCs/>
                <w:sz w:val="20"/>
                <w:szCs w:val="20"/>
              </w:rPr>
            </w:pPr>
            <w:r w:rsidRPr="00FD59E7">
              <w:rPr>
                <w:b/>
                <w:bCs/>
                <w:sz w:val="20"/>
                <w:szCs w:val="20"/>
              </w:rPr>
              <w:t>Main pollutants</w:t>
            </w:r>
            <w:r>
              <w:rPr>
                <w:b/>
                <w:bCs/>
                <w:sz w:val="20"/>
                <w:szCs w:val="20"/>
              </w:rPr>
              <w:t xml:space="preserve">, </w:t>
            </w:r>
            <w:r w:rsidRPr="00FD59E7">
              <w:rPr>
                <w:b/>
                <w:bCs/>
                <w:sz w:val="20"/>
                <w:szCs w:val="20"/>
              </w:rPr>
              <w:t>HMs and POPs:</w:t>
            </w:r>
          </w:p>
          <w:p w14:paraId="63009B35" w14:textId="77777777" w:rsidR="00256024" w:rsidRPr="00D8773D" w:rsidRDefault="00256024" w:rsidP="003916A8">
            <w:pPr>
              <w:keepNext/>
              <w:keepLines/>
              <w:rPr>
                <w:sz w:val="20"/>
                <w:szCs w:val="20"/>
              </w:rPr>
            </w:pPr>
            <w:r w:rsidRPr="00256024">
              <w:rPr>
                <w:sz w:val="20"/>
                <w:szCs w:val="20"/>
              </w:rPr>
              <w:t xml:space="preserve">In addition, time series consistency was reviewed </w:t>
            </w:r>
            <w:r w:rsidR="00C22DA6">
              <w:rPr>
                <w:sz w:val="20"/>
                <w:szCs w:val="20"/>
              </w:rPr>
              <w:t>between the years 2017 and 2018.</w:t>
            </w:r>
          </w:p>
        </w:tc>
      </w:tr>
      <w:tr w:rsidR="001105C3" w:rsidRPr="002750E2" w14:paraId="02BF3D6F" w14:textId="77777777" w:rsidTr="00B8596C">
        <w:trPr>
          <w:trHeight w:val="4087"/>
        </w:trPr>
        <w:tc>
          <w:tcPr>
            <w:tcW w:w="995" w:type="pct"/>
            <w:vAlign w:val="center"/>
          </w:tcPr>
          <w:p w14:paraId="5CC823F2" w14:textId="77777777" w:rsidR="001105C3" w:rsidRPr="00D8773D" w:rsidRDefault="001105C3" w:rsidP="000A576C">
            <w:pPr>
              <w:rPr>
                <w:sz w:val="20"/>
                <w:szCs w:val="20"/>
              </w:rPr>
            </w:pPr>
            <w:r w:rsidRPr="00D8773D">
              <w:rPr>
                <w:sz w:val="20"/>
                <w:szCs w:val="20"/>
              </w:rPr>
              <w:t>Pollutants</w:t>
            </w:r>
          </w:p>
        </w:tc>
        <w:tc>
          <w:tcPr>
            <w:tcW w:w="1607" w:type="pct"/>
            <w:vAlign w:val="center"/>
          </w:tcPr>
          <w:p w14:paraId="0517EF0F" w14:textId="77777777" w:rsidR="00FD59E7" w:rsidRPr="00FD59E7" w:rsidRDefault="00FD59E7" w:rsidP="00312EA5">
            <w:pPr>
              <w:keepNext/>
              <w:keepLines/>
              <w:rPr>
                <w:b/>
                <w:bCs/>
                <w:sz w:val="20"/>
                <w:szCs w:val="20"/>
              </w:rPr>
            </w:pPr>
            <w:r w:rsidRPr="00FD59E7">
              <w:rPr>
                <w:b/>
                <w:bCs/>
                <w:sz w:val="20"/>
                <w:szCs w:val="20"/>
              </w:rPr>
              <w:t>Main pollutants:</w:t>
            </w:r>
          </w:p>
          <w:p w14:paraId="023AB465" w14:textId="5E05A592" w:rsidR="00FD59E7" w:rsidRDefault="00616284" w:rsidP="00FD59E7">
            <w:pPr>
              <w:keepNext/>
              <w:keepLines/>
              <w:rPr>
                <w:sz w:val="20"/>
                <w:szCs w:val="20"/>
                <w:vertAlign w:val="subscript"/>
              </w:rPr>
            </w:pPr>
            <w:r w:rsidRPr="00616284">
              <w:rPr>
                <w:sz w:val="20"/>
                <w:szCs w:val="20"/>
              </w:rPr>
              <w:t>NO</w:t>
            </w:r>
            <w:r w:rsidRPr="00616284">
              <w:rPr>
                <w:sz w:val="20"/>
                <w:szCs w:val="20"/>
                <w:vertAlign w:val="subscript"/>
              </w:rPr>
              <w:t>X</w:t>
            </w:r>
            <w:r w:rsidR="001105C3" w:rsidRPr="00D8773D">
              <w:rPr>
                <w:sz w:val="20"/>
                <w:szCs w:val="20"/>
              </w:rPr>
              <w:t xml:space="preserve">, NMVOC, </w:t>
            </w:r>
            <w:r w:rsidRPr="00616284">
              <w:rPr>
                <w:sz w:val="20"/>
                <w:szCs w:val="20"/>
              </w:rPr>
              <w:t>SO</w:t>
            </w:r>
            <w:r w:rsidRPr="00616284">
              <w:rPr>
                <w:sz w:val="20"/>
                <w:szCs w:val="20"/>
                <w:vertAlign w:val="subscript"/>
              </w:rPr>
              <w:t>2</w:t>
            </w:r>
            <w:r w:rsidR="001105C3" w:rsidRPr="00D8773D">
              <w:rPr>
                <w:sz w:val="20"/>
                <w:szCs w:val="20"/>
              </w:rPr>
              <w:t xml:space="preserve">, </w:t>
            </w:r>
            <w:r w:rsidRPr="00616284">
              <w:rPr>
                <w:sz w:val="20"/>
                <w:szCs w:val="20"/>
              </w:rPr>
              <w:t>NH</w:t>
            </w:r>
            <w:r w:rsidRPr="00616284">
              <w:rPr>
                <w:sz w:val="20"/>
                <w:szCs w:val="20"/>
                <w:vertAlign w:val="subscript"/>
              </w:rPr>
              <w:t>3</w:t>
            </w:r>
            <w:r w:rsidR="001105C3" w:rsidRPr="00D8773D">
              <w:rPr>
                <w:sz w:val="20"/>
                <w:szCs w:val="20"/>
              </w:rPr>
              <w:t xml:space="preserve">, </w:t>
            </w:r>
            <w:r w:rsidRPr="00616284">
              <w:rPr>
                <w:sz w:val="20"/>
                <w:szCs w:val="20"/>
              </w:rPr>
              <w:t>PM</w:t>
            </w:r>
            <w:r w:rsidRPr="00616284">
              <w:rPr>
                <w:sz w:val="20"/>
                <w:szCs w:val="20"/>
                <w:vertAlign w:val="subscript"/>
              </w:rPr>
              <w:t>2.5</w:t>
            </w:r>
            <w:r w:rsidR="00312EA5">
              <w:rPr>
                <w:sz w:val="20"/>
                <w:szCs w:val="20"/>
                <w:vertAlign w:val="subscript"/>
              </w:rPr>
              <w:t>,</w:t>
            </w:r>
          </w:p>
          <w:p w14:paraId="21274509" w14:textId="77777777" w:rsidR="00FD59E7" w:rsidRPr="00FD59E7" w:rsidRDefault="00FD59E7" w:rsidP="00FD59E7">
            <w:pPr>
              <w:keepNext/>
              <w:keepLines/>
              <w:rPr>
                <w:b/>
                <w:bCs/>
                <w:sz w:val="20"/>
                <w:szCs w:val="20"/>
              </w:rPr>
            </w:pPr>
            <w:r w:rsidRPr="00FD59E7">
              <w:rPr>
                <w:b/>
                <w:bCs/>
                <w:sz w:val="20"/>
                <w:szCs w:val="20"/>
              </w:rPr>
              <w:t>HMs and POPs:</w:t>
            </w:r>
          </w:p>
          <w:p w14:paraId="7A90228A" w14:textId="77777777" w:rsidR="001105C3" w:rsidRDefault="001105C3" w:rsidP="00FD59E7">
            <w:pPr>
              <w:keepNext/>
              <w:keepLines/>
              <w:rPr>
                <w:sz w:val="20"/>
                <w:szCs w:val="20"/>
              </w:rPr>
            </w:pPr>
            <w:r w:rsidRPr="00D8773D">
              <w:rPr>
                <w:sz w:val="20"/>
                <w:szCs w:val="20"/>
              </w:rPr>
              <w:t>PAHs</w:t>
            </w:r>
            <w:r>
              <w:rPr>
                <w:sz w:val="20"/>
                <w:szCs w:val="20"/>
              </w:rPr>
              <w:t xml:space="preserve"> (total and </w:t>
            </w:r>
            <w:r w:rsidR="00C93D28">
              <w:rPr>
                <w:sz w:val="20"/>
                <w:szCs w:val="20"/>
              </w:rPr>
              <w:t>individual PAHs</w:t>
            </w:r>
            <w:r w:rsidR="00256024">
              <w:rPr>
                <w:sz w:val="20"/>
                <w:szCs w:val="20"/>
              </w:rPr>
              <w:t>)</w:t>
            </w:r>
            <w:r w:rsidRPr="00D8773D">
              <w:rPr>
                <w:sz w:val="20"/>
                <w:szCs w:val="20"/>
              </w:rPr>
              <w:t>, dioxins/furans, PCBs, HCB, Cd,</w:t>
            </w:r>
            <w:r w:rsidR="00256024">
              <w:rPr>
                <w:sz w:val="20"/>
                <w:szCs w:val="20"/>
              </w:rPr>
              <w:t xml:space="preserve"> </w:t>
            </w:r>
            <w:r w:rsidRPr="00D8773D">
              <w:rPr>
                <w:sz w:val="20"/>
                <w:szCs w:val="20"/>
              </w:rPr>
              <w:t>Hg</w:t>
            </w:r>
            <w:r w:rsidR="00312EA5">
              <w:rPr>
                <w:sz w:val="20"/>
                <w:szCs w:val="20"/>
              </w:rPr>
              <w:t xml:space="preserve">, </w:t>
            </w:r>
            <w:r w:rsidRPr="00D8773D">
              <w:rPr>
                <w:sz w:val="20"/>
                <w:szCs w:val="20"/>
              </w:rPr>
              <w:t>Pb</w:t>
            </w:r>
          </w:p>
          <w:p w14:paraId="068A08CA" w14:textId="77777777" w:rsidR="00FD59E7" w:rsidRPr="00FD59E7" w:rsidRDefault="00FD59E7" w:rsidP="00FD59E7">
            <w:pPr>
              <w:keepNext/>
              <w:keepLines/>
              <w:rPr>
                <w:b/>
                <w:bCs/>
                <w:sz w:val="20"/>
                <w:szCs w:val="20"/>
              </w:rPr>
            </w:pPr>
            <w:r w:rsidRPr="00FD59E7">
              <w:rPr>
                <w:b/>
                <w:bCs/>
                <w:sz w:val="20"/>
                <w:szCs w:val="20"/>
              </w:rPr>
              <w:t>Gridded data:</w:t>
            </w:r>
          </w:p>
          <w:p w14:paraId="787FDC36" w14:textId="3967E8BA" w:rsidR="00FD59E7" w:rsidRDefault="00616284" w:rsidP="00FD59E7">
            <w:pPr>
              <w:keepNext/>
              <w:keepLines/>
              <w:rPr>
                <w:sz w:val="20"/>
                <w:szCs w:val="20"/>
              </w:rPr>
            </w:pPr>
            <w:r w:rsidRPr="00616284">
              <w:rPr>
                <w:sz w:val="20"/>
                <w:szCs w:val="20"/>
              </w:rPr>
              <w:t>NO</w:t>
            </w:r>
            <w:r w:rsidRPr="00616284">
              <w:rPr>
                <w:sz w:val="20"/>
                <w:szCs w:val="20"/>
                <w:vertAlign w:val="subscript"/>
              </w:rPr>
              <w:t>X</w:t>
            </w:r>
            <w:r w:rsidR="00FD59E7" w:rsidRPr="00D8773D">
              <w:rPr>
                <w:sz w:val="20"/>
                <w:szCs w:val="20"/>
              </w:rPr>
              <w:t xml:space="preserve">, NMVOC, </w:t>
            </w:r>
            <w:r w:rsidRPr="00616284">
              <w:rPr>
                <w:sz w:val="20"/>
                <w:szCs w:val="20"/>
              </w:rPr>
              <w:t>SO</w:t>
            </w:r>
            <w:r w:rsidRPr="00616284">
              <w:rPr>
                <w:sz w:val="20"/>
                <w:szCs w:val="20"/>
                <w:vertAlign w:val="subscript"/>
              </w:rPr>
              <w:t>2</w:t>
            </w:r>
            <w:r w:rsidR="00FD59E7" w:rsidRPr="00D8773D">
              <w:rPr>
                <w:sz w:val="20"/>
                <w:szCs w:val="20"/>
              </w:rPr>
              <w:t xml:space="preserve">, </w:t>
            </w:r>
            <w:r w:rsidRPr="00616284">
              <w:rPr>
                <w:sz w:val="20"/>
                <w:szCs w:val="20"/>
              </w:rPr>
              <w:t>NH</w:t>
            </w:r>
            <w:r w:rsidRPr="00616284">
              <w:rPr>
                <w:sz w:val="20"/>
                <w:szCs w:val="20"/>
                <w:vertAlign w:val="subscript"/>
              </w:rPr>
              <w:t>3</w:t>
            </w:r>
            <w:r w:rsidR="00FD59E7" w:rsidRPr="00D8773D">
              <w:rPr>
                <w:sz w:val="20"/>
                <w:szCs w:val="20"/>
              </w:rPr>
              <w:t xml:space="preserve">, </w:t>
            </w:r>
            <w:r w:rsidRPr="00616284">
              <w:rPr>
                <w:sz w:val="20"/>
                <w:szCs w:val="20"/>
              </w:rPr>
              <w:t>PM</w:t>
            </w:r>
            <w:r w:rsidRPr="00616284">
              <w:rPr>
                <w:sz w:val="20"/>
                <w:szCs w:val="20"/>
                <w:vertAlign w:val="subscript"/>
              </w:rPr>
              <w:t>2.5</w:t>
            </w:r>
            <w:r w:rsidR="00707D64">
              <w:rPr>
                <w:sz w:val="20"/>
                <w:szCs w:val="20"/>
              </w:rPr>
              <w:t xml:space="preserve">, </w:t>
            </w:r>
            <w:r w:rsidRPr="00616284">
              <w:rPr>
                <w:sz w:val="20"/>
                <w:szCs w:val="20"/>
              </w:rPr>
              <w:t>PM</w:t>
            </w:r>
            <w:r w:rsidRPr="00616284">
              <w:rPr>
                <w:sz w:val="20"/>
                <w:szCs w:val="20"/>
                <w:vertAlign w:val="subscript"/>
              </w:rPr>
              <w:t>10</w:t>
            </w:r>
            <w:r w:rsidR="007B5984">
              <w:rPr>
                <w:sz w:val="20"/>
                <w:szCs w:val="20"/>
              </w:rPr>
              <w:t>, CO, Pb, Cd, Hg,</w:t>
            </w:r>
            <w:r w:rsidR="00E67D29">
              <w:rPr>
                <w:sz w:val="20"/>
                <w:szCs w:val="20"/>
              </w:rPr>
              <w:t xml:space="preserve"> </w:t>
            </w:r>
            <w:r w:rsidR="00E67D29" w:rsidRPr="00D8773D">
              <w:rPr>
                <w:sz w:val="20"/>
                <w:szCs w:val="20"/>
              </w:rPr>
              <w:t>dioxins/furans,</w:t>
            </w:r>
            <w:r w:rsidR="007B5984">
              <w:rPr>
                <w:sz w:val="20"/>
                <w:szCs w:val="20"/>
              </w:rPr>
              <w:t xml:space="preserve"> t</w:t>
            </w:r>
            <w:r w:rsidR="00707D64">
              <w:rPr>
                <w:sz w:val="20"/>
                <w:szCs w:val="20"/>
              </w:rPr>
              <w:t>otal P</w:t>
            </w:r>
            <w:r w:rsidR="00707D64" w:rsidRPr="00D8773D">
              <w:rPr>
                <w:sz w:val="20"/>
                <w:szCs w:val="20"/>
              </w:rPr>
              <w:t>AHs,</w:t>
            </w:r>
            <w:r w:rsidR="00E67D29">
              <w:rPr>
                <w:sz w:val="20"/>
                <w:szCs w:val="20"/>
              </w:rPr>
              <w:t xml:space="preserve"> HCB,</w:t>
            </w:r>
            <w:r w:rsidR="00707D64" w:rsidRPr="00D8773D">
              <w:rPr>
                <w:sz w:val="20"/>
                <w:szCs w:val="20"/>
              </w:rPr>
              <w:t xml:space="preserve"> PCBs</w:t>
            </w:r>
          </w:p>
          <w:p w14:paraId="5C2FF19C" w14:textId="77777777" w:rsidR="00FD59E7" w:rsidRPr="00FD59E7" w:rsidRDefault="00FD59E7" w:rsidP="00FD59E7">
            <w:pPr>
              <w:keepNext/>
              <w:keepLines/>
              <w:rPr>
                <w:b/>
                <w:bCs/>
                <w:sz w:val="20"/>
                <w:szCs w:val="20"/>
              </w:rPr>
            </w:pPr>
            <w:r w:rsidRPr="00FD59E7">
              <w:rPr>
                <w:b/>
                <w:bCs/>
                <w:sz w:val="20"/>
                <w:szCs w:val="20"/>
              </w:rPr>
              <w:t>LPS data:</w:t>
            </w:r>
          </w:p>
          <w:p w14:paraId="3654E063" w14:textId="635520AC" w:rsidR="00FD59E7" w:rsidRPr="00D8773D" w:rsidRDefault="00616284" w:rsidP="00FD59E7">
            <w:pPr>
              <w:keepNext/>
              <w:keepLines/>
              <w:rPr>
                <w:sz w:val="20"/>
                <w:szCs w:val="20"/>
              </w:rPr>
            </w:pPr>
            <w:r w:rsidRPr="00616284">
              <w:rPr>
                <w:sz w:val="20"/>
                <w:szCs w:val="20"/>
              </w:rPr>
              <w:t>NO</w:t>
            </w:r>
            <w:r w:rsidRPr="00616284">
              <w:rPr>
                <w:sz w:val="20"/>
                <w:szCs w:val="20"/>
                <w:vertAlign w:val="subscript"/>
              </w:rPr>
              <w:t>X</w:t>
            </w:r>
            <w:r w:rsidR="00E67D29" w:rsidRPr="00D8773D">
              <w:rPr>
                <w:sz w:val="20"/>
                <w:szCs w:val="20"/>
              </w:rPr>
              <w:t xml:space="preserve">, NMVOC, </w:t>
            </w:r>
            <w:r w:rsidRPr="00616284">
              <w:rPr>
                <w:sz w:val="20"/>
                <w:szCs w:val="20"/>
              </w:rPr>
              <w:t>SO</w:t>
            </w:r>
            <w:r w:rsidRPr="00616284">
              <w:rPr>
                <w:sz w:val="20"/>
                <w:szCs w:val="20"/>
                <w:vertAlign w:val="subscript"/>
              </w:rPr>
              <w:t>2</w:t>
            </w:r>
            <w:r w:rsidR="00E67D29" w:rsidRPr="00D8773D">
              <w:rPr>
                <w:sz w:val="20"/>
                <w:szCs w:val="20"/>
              </w:rPr>
              <w:t xml:space="preserve">, </w:t>
            </w:r>
            <w:r w:rsidRPr="00616284">
              <w:rPr>
                <w:sz w:val="20"/>
                <w:szCs w:val="20"/>
              </w:rPr>
              <w:t>NH</w:t>
            </w:r>
            <w:r w:rsidRPr="00616284">
              <w:rPr>
                <w:sz w:val="20"/>
                <w:szCs w:val="20"/>
                <w:vertAlign w:val="subscript"/>
              </w:rPr>
              <w:t>3</w:t>
            </w:r>
            <w:r w:rsidR="00E67D29" w:rsidRPr="00D8773D">
              <w:rPr>
                <w:sz w:val="20"/>
                <w:szCs w:val="20"/>
              </w:rPr>
              <w:t xml:space="preserve">, </w:t>
            </w:r>
            <w:r w:rsidRPr="00616284">
              <w:rPr>
                <w:sz w:val="20"/>
                <w:szCs w:val="20"/>
              </w:rPr>
              <w:t>PM</w:t>
            </w:r>
            <w:r w:rsidRPr="00616284">
              <w:rPr>
                <w:sz w:val="20"/>
                <w:szCs w:val="20"/>
                <w:vertAlign w:val="subscript"/>
              </w:rPr>
              <w:t>2.5</w:t>
            </w:r>
            <w:r w:rsidR="00E67D29">
              <w:rPr>
                <w:sz w:val="20"/>
                <w:szCs w:val="20"/>
              </w:rPr>
              <w:t xml:space="preserve">, </w:t>
            </w:r>
            <w:r w:rsidRPr="00616284">
              <w:rPr>
                <w:sz w:val="20"/>
                <w:szCs w:val="20"/>
              </w:rPr>
              <w:t>PM</w:t>
            </w:r>
            <w:r w:rsidRPr="00616284">
              <w:rPr>
                <w:sz w:val="20"/>
                <w:szCs w:val="20"/>
                <w:vertAlign w:val="subscript"/>
              </w:rPr>
              <w:t>10</w:t>
            </w:r>
            <w:r w:rsidR="00E67D29">
              <w:rPr>
                <w:sz w:val="20"/>
                <w:szCs w:val="20"/>
              </w:rPr>
              <w:t xml:space="preserve">, CO, Pb, Cd, Hg, </w:t>
            </w:r>
            <w:r w:rsidR="00E67D29" w:rsidRPr="00D8773D">
              <w:rPr>
                <w:sz w:val="20"/>
                <w:szCs w:val="20"/>
              </w:rPr>
              <w:t>dioxins/furans,</w:t>
            </w:r>
            <w:r w:rsidR="00E67D29">
              <w:rPr>
                <w:sz w:val="20"/>
                <w:szCs w:val="20"/>
              </w:rPr>
              <w:t xml:space="preserve"> total P</w:t>
            </w:r>
            <w:r w:rsidR="00E67D29" w:rsidRPr="00D8773D">
              <w:rPr>
                <w:sz w:val="20"/>
                <w:szCs w:val="20"/>
              </w:rPr>
              <w:t>AHs,</w:t>
            </w:r>
            <w:r w:rsidR="00E67D29">
              <w:rPr>
                <w:sz w:val="20"/>
                <w:szCs w:val="20"/>
              </w:rPr>
              <w:t xml:space="preserve"> HCB,</w:t>
            </w:r>
            <w:r w:rsidR="00E67D29" w:rsidRPr="00D8773D">
              <w:rPr>
                <w:sz w:val="20"/>
                <w:szCs w:val="20"/>
              </w:rPr>
              <w:t xml:space="preserve"> PCBs</w:t>
            </w:r>
          </w:p>
        </w:tc>
        <w:tc>
          <w:tcPr>
            <w:tcW w:w="2398" w:type="pct"/>
            <w:vAlign w:val="center"/>
          </w:tcPr>
          <w:p w14:paraId="71311353" w14:textId="77777777" w:rsidR="002A2E18" w:rsidRPr="00D8773D" w:rsidRDefault="001105C3" w:rsidP="000A576C">
            <w:pPr>
              <w:keepNext/>
              <w:keepLines/>
              <w:rPr>
                <w:sz w:val="20"/>
                <w:szCs w:val="20"/>
              </w:rPr>
            </w:pPr>
            <w:r w:rsidRPr="00D8773D">
              <w:rPr>
                <w:sz w:val="20"/>
                <w:szCs w:val="20"/>
              </w:rPr>
              <w:t>According to NECD</w:t>
            </w:r>
            <w:r w:rsidR="00E67D29">
              <w:t xml:space="preserve"> (</w:t>
            </w:r>
            <w:r w:rsidR="00E67D29" w:rsidRPr="00E67D29">
              <w:rPr>
                <w:sz w:val="20"/>
                <w:szCs w:val="20"/>
              </w:rPr>
              <w:t>Directive (EU) 2016/2284</w:t>
            </w:r>
            <w:r w:rsidR="00E67D29">
              <w:rPr>
                <w:sz w:val="20"/>
                <w:szCs w:val="20"/>
              </w:rPr>
              <w:t>)</w:t>
            </w:r>
            <w:r w:rsidRPr="00D8773D">
              <w:rPr>
                <w:sz w:val="20"/>
                <w:szCs w:val="20"/>
              </w:rPr>
              <w:t xml:space="preserve"> </w:t>
            </w:r>
            <w:r w:rsidR="00E67D29">
              <w:rPr>
                <w:sz w:val="20"/>
                <w:szCs w:val="20"/>
              </w:rPr>
              <w:t>Annex I</w:t>
            </w:r>
          </w:p>
        </w:tc>
      </w:tr>
      <w:tr w:rsidR="001105C3" w:rsidRPr="002750E2" w14:paraId="57AA726D" w14:textId="77777777" w:rsidTr="00B8596C">
        <w:trPr>
          <w:trHeight w:val="2848"/>
        </w:trPr>
        <w:tc>
          <w:tcPr>
            <w:tcW w:w="995" w:type="pct"/>
            <w:vAlign w:val="center"/>
          </w:tcPr>
          <w:p w14:paraId="7DA47C8C" w14:textId="77777777" w:rsidR="001105C3" w:rsidRPr="00D8773D" w:rsidRDefault="001105C3" w:rsidP="000A576C">
            <w:pPr>
              <w:rPr>
                <w:sz w:val="20"/>
                <w:szCs w:val="20"/>
              </w:rPr>
            </w:pPr>
            <w:r w:rsidRPr="00D8773D">
              <w:rPr>
                <w:sz w:val="20"/>
                <w:szCs w:val="20"/>
              </w:rPr>
              <w:t xml:space="preserve">Categories </w:t>
            </w:r>
          </w:p>
        </w:tc>
        <w:tc>
          <w:tcPr>
            <w:tcW w:w="1607" w:type="pct"/>
            <w:vAlign w:val="center"/>
          </w:tcPr>
          <w:p w14:paraId="2A4B1407" w14:textId="77777777" w:rsidR="00707D64" w:rsidRPr="00FD59E7" w:rsidRDefault="00707D64" w:rsidP="00707D64">
            <w:pPr>
              <w:keepNext/>
              <w:keepLines/>
              <w:rPr>
                <w:b/>
                <w:bCs/>
                <w:sz w:val="20"/>
                <w:szCs w:val="20"/>
              </w:rPr>
            </w:pPr>
            <w:r w:rsidRPr="00FD59E7">
              <w:rPr>
                <w:b/>
                <w:bCs/>
                <w:sz w:val="20"/>
                <w:szCs w:val="20"/>
              </w:rPr>
              <w:t>Main pollutants</w:t>
            </w:r>
            <w:r>
              <w:rPr>
                <w:b/>
                <w:bCs/>
                <w:sz w:val="20"/>
                <w:szCs w:val="20"/>
              </w:rPr>
              <w:t xml:space="preserve">, </w:t>
            </w:r>
            <w:r w:rsidRPr="00FD59E7">
              <w:rPr>
                <w:b/>
                <w:bCs/>
                <w:sz w:val="20"/>
                <w:szCs w:val="20"/>
              </w:rPr>
              <w:t>HMs and POPs:</w:t>
            </w:r>
          </w:p>
          <w:p w14:paraId="1D4C2331" w14:textId="77777777" w:rsidR="001105C3" w:rsidRDefault="001105C3" w:rsidP="000A576C">
            <w:pPr>
              <w:keepNext/>
              <w:keepLines/>
              <w:rPr>
                <w:sz w:val="20"/>
                <w:szCs w:val="20"/>
              </w:rPr>
            </w:pPr>
            <w:r w:rsidRPr="00D8773D">
              <w:rPr>
                <w:sz w:val="20"/>
                <w:szCs w:val="20"/>
              </w:rPr>
              <w:t xml:space="preserve">All NFR </w:t>
            </w:r>
            <w:r w:rsidR="00C93D28">
              <w:rPr>
                <w:sz w:val="20"/>
                <w:szCs w:val="20"/>
              </w:rPr>
              <w:t xml:space="preserve">and GNFR </w:t>
            </w:r>
            <w:r w:rsidRPr="00D8773D">
              <w:rPr>
                <w:sz w:val="20"/>
                <w:szCs w:val="20"/>
              </w:rPr>
              <w:t xml:space="preserve">categories, including selected memo items </w:t>
            </w:r>
          </w:p>
          <w:p w14:paraId="0CEECFB1" w14:textId="77777777" w:rsidR="00707D64" w:rsidRPr="00FD59E7" w:rsidRDefault="00707D64" w:rsidP="00707D64">
            <w:pPr>
              <w:keepNext/>
              <w:keepLines/>
              <w:rPr>
                <w:b/>
                <w:bCs/>
                <w:sz w:val="20"/>
                <w:szCs w:val="20"/>
              </w:rPr>
            </w:pPr>
            <w:r w:rsidRPr="00FD59E7">
              <w:rPr>
                <w:b/>
                <w:bCs/>
                <w:sz w:val="20"/>
                <w:szCs w:val="20"/>
              </w:rPr>
              <w:t>Gridded data</w:t>
            </w:r>
            <w:r>
              <w:rPr>
                <w:b/>
                <w:bCs/>
                <w:sz w:val="20"/>
                <w:szCs w:val="20"/>
              </w:rPr>
              <w:t xml:space="preserve">, </w:t>
            </w:r>
            <w:r w:rsidRPr="00FD59E7">
              <w:rPr>
                <w:b/>
                <w:bCs/>
                <w:sz w:val="20"/>
                <w:szCs w:val="20"/>
              </w:rPr>
              <w:t>LPS data:</w:t>
            </w:r>
          </w:p>
          <w:p w14:paraId="40A27851" w14:textId="77777777" w:rsidR="00707D64" w:rsidRPr="00D8773D" w:rsidRDefault="00707D64" w:rsidP="000A576C">
            <w:pPr>
              <w:keepNext/>
              <w:keepLines/>
              <w:rPr>
                <w:sz w:val="20"/>
                <w:szCs w:val="20"/>
              </w:rPr>
            </w:pPr>
            <w:r>
              <w:rPr>
                <w:sz w:val="20"/>
                <w:szCs w:val="20"/>
              </w:rPr>
              <w:t xml:space="preserve">All GNFR categories, excluding </w:t>
            </w:r>
            <w:r w:rsidR="00A41822" w:rsidRPr="00A41822">
              <w:rPr>
                <w:sz w:val="20"/>
                <w:szCs w:val="20"/>
              </w:rPr>
              <w:t>O_AviCruise, P_IntShipping, z_Memo</w:t>
            </w:r>
          </w:p>
        </w:tc>
        <w:tc>
          <w:tcPr>
            <w:tcW w:w="2398" w:type="pct"/>
            <w:vAlign w:val="center"/>
          </w:tcPr>
          <w:p w14:paraId="33EE8C0D" w14:textId="77777777" w:rsidR="00707D64" w:rsidRPr="00FD59E7" w:rsidRDefault="00707D64" w:rsidP="00707D64">
            <w:pPr>
              <w:keepNext/>
              <w:keepLines/>
              <w:rPr>
                <w:b/>
                <w:bCs/>
                <w:sz w:val="20"/>
                <w:szCs w:val="20"/>
              </w:rPr>
            </w:pPr>
            <w:r w:rsidRPr="00FD59E7">
              <w:rPr>
                <w:b/>
                <w:bCs/>
                <w:sz w:val="20"/>
                <w:szCs w:val="20"/>
              </w:rPr>
              <w:t>Main pollutants</w:t>
            </w:r>
            <w:r>
              <w:rPr>
                <w:b/>
                <w:bCs/>
                <w:sz w:val="20"/>
                <w:szCs w:val="20"/>
              </w:rPr>
              <w:t xml:space="preserve">, </w:t>
            </w:r>
            <w:r w:rsidRPr="00FD59E7">
              <w:rPr>
                <w:b/>
                <w:bCs/>
                <w:sz w:val="20"/>
                <w:szCs w:val="20"/>
              </w:rPr>
              <w:t>HMs and POPs:</w:t>
            </w:r>
          </w:p>
          <w:p w14:paraId="617F9348" w14:textId="62C7E83A" w:rsidR="001105C3" w:rsidRPr="00D8773D" w:rsidRDefault="001105C3" w:rsidP="000A576C">
            <w:pPr>
              <w:keepNext/>
              <w:keepLines/>
              <w:rPr>
                <w:sz w:val="20"/>
                <w:szCs w:val="20"/>
              </w:rPr>
            </w:pPr>
            <w:r w:rsidRPr="00D8773D">
              <w:rPr>
                <w:sz w:val="20"/>
                <w:szCs w:val="20"/>
              </w:rPr>
              <w:t xml:space="preserve">All NFR categories as listed in Annex 1 of reporting </w:t>
            </w:r>
            <w:r w:rsidR="002537C6">
              <w:rPr>
                <w:sz w:val="20"/>
                <w:szCs w:val="20"/>
              </w:rPr>
              <w:t>G</w:t>
            </w:r>
            <w:r w:rsidRPr="00D8773D">
              <w:rPr>
                <w:sz w:val="20"/>
                <w:szCs w:val="20"/>
              </w:rPr>
              <w:t>uidelines</w:t>
            </w:r>
            <w:r w:rsidR="006E72F8">
              <w:rPr>
                <w:rStyle w:val="Puslapioinaosnuoroda"/>
                <w:sz w:val="20"/>
                <w:szCs w:val="20"/>
              </w:rPr>
              <w:footnoteReference w:id="5"/>
            </w:r>
            <w:r w:rsidR="00256024">
              <w:rPr>
                <w:sz w:val="20"/>
                <w:szCs w:val="20"/>
              </w:rPr>
              <w:t xml:space="preserve"> i</w:t>
            </w:r>
            <w:r w:rsidRPr="00D8773D">
              <w:rPr>
                <w:sz w:val="20"/>
                <w:szCs w:val="20"/>
              </w:rPr>
              <w:t>ncluding the following memo items:</w:t>
            </w:r>
          </w:p>
          <w:p w14:paraId="764212B6" w14:textId="77777777" w:rsidR="001105C3" w:rsidRPr="00D8773D" w:rsidRDefault="001105C3" w:rsidP="000A576C">
            <w:pPr>
              <w:keepNext/>
              <w:keepLines/>
              <w:rPr>
                <w:sz w:val="20"/>
                <w:szCs w:val="20"/>
                <w:lang w:val="fr-BE"/>
              </w:rPr>
            </w:pPr>
            <w:r w:rsidRPr="00D8773D">
              <w:rPr>
                <w:sz w:val="20"/>
                <w:szCs w:val="20"/>
                <w:lang w:val="fr-BE"/>
              </w:rPr>
              <w:t>1A3ai(ii) International aviation cruise (civil)</w:t>
            </w:r>
          </w:p>
          <w:p w14:paraId="5FD4BCFD" w14:textId="77777777" w:rsidR="001105C3" w:rsidRPr="00D8773D" w:rsidRDefault="001105C3" w:rsidP="000A576C">
            <w:pPr>
              <w:keepNext/>
              <w:keepLines/>
              <w:rPr>
                <w:sz w:val="20"/>
                <w:szCs w:val="20"/>
              </w:rPr>
            </w:pPr>
            <w:r w:rsidRPr="00D8773D">
              <w:rPr>
                <w:sz w:val="20"/>
                <w:szCs w:val="20"/>
              </w:rPr>
              <w:t>1A3aii(ii) Domestic aviation cruise (civil)</w:t>
            </w:r>
          </w:p>
          <w:p w14:paraId="7F630CE6" w14:textId="77777777" w:rsidR="001105C3" w:rsidRPr="00D8773D" w:rsidRDefault="001105C3" w:rsidP="000A576C">
            <w:pPr>
              <w:keepNext/>
              <w:keepLines/>
              <w:rPr>
                <w:sz w:val="20"/>
                <w:szCs w:val="20"/>
              </w:rPr>
            </w:pPr>
            <w:r w:rsidRPr="00D8773D">
              <w:rPr>
                <w:sz w:val="20"/>
                <w:szCs w:val="20"/>
              </w:rPr>
              <w:t xml:space="preserve">1A3di(i) International maritime navigation </w:t>
            </w:r>
          </w:p>
          <w:p w14:paraId="15F2CF57" w14:textId="77777777" w:rsidR="001105C3" w:rsidRDefault="001105C3" w:rsidP="000A576C">
            <w:pPr>
              <w:keepNext/>
              <w:keepLines/>
              <w:rPr>
                <w:sz w:val="20"/>
                <w:szCs w:val="20"/>
              </w:rPr>
            </w:pPr>
            <w:r w:rsidRPr="00D8773D">
              <w:rPr>
                <w:sz w:val="20"/>
                <w:szCs w:val="20"/>
              </w:rPr>
              <w:t xml:space="preserve">1A3 Transport (fuel used) – where a </w:t>
            </w:r>
            <w:r w:rsidR="00B939D8">
              <w:rPr>
                <w:sz w:val="20"/>
                <w:szCs w:val="20"/>
              </w:rPr>
              <w:t>Member State</w:t>
            </w:r>
            <w:r w:rsidR="002D1924">
              <w:rPr>
                <w:sz w:val="20"/>
                <w:szCs w:val="20"/>
              </w:rPr>
              <w:t xml:space="preserve"> or the UK</w:t>
            </w:r>
            <w:r w:rsidRPr="00D8773D">
              <w:rPr>
                <w:sz w:val="20"/>
                <w:szCs w:val="20"/>
              </w:rPr>
              <w:t xml:space="preserve"> uses fuel used for compliance purposes.</w:t>
            </w:r>
          </w:p>
          <w:p w14:paraId="1F08F2C8" w14:textId="77777777" w:rsidR="00A41822" w:rsidRPr="00A41822" w:rsidRDefault="00A41822" w:rsidP="000A576C">
            <w:pPr>
              <w:keepNext/>
              <w:keepLines/>
              <w:rPr>
                <w:sz w:val="20"/>
                <w:szCs w:val="20"/>
              </w:rPr>
            </w:pPr>
            <w:r w:rsidRPr="00FD59E7">
              <w:rPr>
                <w:b/>
                <w:bCs/>
                <w:sz w:val="20"/>
                <w:szCs w:val="20"/>
              </w:rPr>
              <w:t>Gridded data</w:t>
            </w:r>
            <w:r>
              <w:rPr>
                <w:b/>
                <w:bCs/>
                <w:sz w:val="20"/>
                <w:szCs w:val="20"/>
              </w:rPr>
              <w:t>:</w:t>
            </w:r>
          </w:p>
          <w:p w14:paraId="3556A2A5" w14:textId="77777777" w:rsidR="00A41822" w:rsidRPr="00A41822" w:rsidRDefault="00A41822" w:rsidP="000A576C">
            <w:pPr>
              <w:keepNext/>
              <w:keepLines/>
              <w:rPr>
                <w:b/>
                <w:bCs/>
                <w:sz w:val="20"/>
                <w:szCs w:val="20"/>
              </w:rPr>
            </w:pPr>
            <w:r w:rsidRPr="00A41822">
              <w:rPr>
                <w:sz w:val="20"/>
                <w:szCs w:val="20"/>
              </w:rPr>
              <w:t>Reported data based on fuel used will be considered in selected cases</w:t>
            </w:r>
            <w:r>
              <w:rPr>
                <w:sz w:val="20"/>
                <w:szCs w:val="20"/>
              </w:rPr>
              <w:t>.</w:t>
            </w:r>
          </w:p>
        </w:tc>
      </w:tr>
      <w:tr w:rsidR="001105C3" w:rsidRPr="002750E2" w14:paraId="3C978FDC" w14:textId="77777777" w:rsidTr="00B8596C">
        <w:trPr>
          <w:trHeight w:val="690"/>
        </w:trPr>
        <w:tc>
          <w:tcPr>
            <w:tcW w:w="995" w:type="pct"/>
            <w:vAlign w:val="center"/>
          </w:tcPr>
          <w:p w14:paraId="40F49B4F" w14:textId="77777777" w:rsidR="001105C3" w:rsidRPr="00D8773D" w:rsidRDefault="001105C3" w:rsidP="000A576C">
            <w:pPr>
              <w:rPr>
                <w:sz w:val="20"/>
                <w:szCs w:val="20"/>
              </w:rPr>
            </w:pPr>
            <w:r w:rsidRPr="00D8773D">
              <w:rPr>
                <w:sz w:val="20"/>
                <w:szCs w:val="20"/>
              </w:rPr>
              <w:t>National totals</w:t>
            </w:r>
          </w:p>
        </w:tc>
        <w:tc>
          <w:tcPr>
            <w:tcW w:w="1607" w:type="pct"/>
            <w:vAlign w:val="center"/>
          </w:tcPr>
          <w:p w14:paraId="02F70C21" w14:textId="77777777" w:rsidR="001105C3" w:rsidRPr="00D8773D" w:rsidRDefault="001105C3" w:rsidP="000A576C">
            <w:pPr>
              <w:keepNext/>
              <w:keepLines/>
              <w:rPr>
                <w:sz w:val="20"/>
                <w:szCs w:val="20"/>
              </w:rPr>
            </w:pPr>
            <w:r w:rsidRPr="00D8773D">
              <w:rPr>
                <w:sz w:val="20"/>
                <w:szCs w:val="20"/>
              </w:rPr>
              <w:t xml:space="preserve">National total and National total for compliance </w:t>
            </w:r>
          </w:p>
        </w:tc>
        <w:tc>
          <w:tcPr>
            <w:tcW w:w="2398" w:type="pct"/>
            <w:vAlign w:val="center"/>
          </w:tcPr>
          <w:p w14:paraId="5A990D14" w14:textId="77777777" w:rsidR="001105C3" w:rsidRPr="00D8773D" w:rsidRDefault="001105C3" w:rsidP="00D72058">
            <w:pPr>
              <w:keepNext/>
              <w:keepLines/>
              <w:rPr>
                <w:sz w:val="20"/>
                <w:szCs w:val="20"/>
              </w:rPr>
            </w:pPr>
            <w:r w:rsidRPr="00D8773D">
              <w:rPr>
                <w:sz w:val="20"/>
                <w:szCs w:val="20"/>
              </w:rPr>
              <w:t>Rows 141 and 1</w:t>
            </w:r>
            <w:r w:rsidR="00D72058">
              <w:rPr>
                <w:sz w:val="20"/>
                <w:szCs w:val="20"/>
              </w:rPr>
              <w:t>54</w:t>
            </w:r>
            <w:r w:rsidRPr="00D8773D">
              <w:rPr>
                <w:sz w:val="20"/>
                <w:szCs w:val="20"/>
              </w:rPr>
              <w:t xml:space="preserve"> in Annex </w:t>
            </w:r>
            <w:r w:rsidR="002537C6">
              <w:rPr>
                <w:sz w:val="20"/>
                <w:szCs w:val="20"/>
              </w:rPr>
              <w:t>1</w:t>
            </w:r>
            <w:r w:rsidRPr="00D8773D">
              <w:rPr>
                <w:sz w:val="20"/>
                <w:szCs w:val="20"/>
              </w:rPr>
              <w:t xml:space="preserve"> </w:t>
            </w:r>
            <w:r w:rsidR="002537C6">
              <w:rPr>
                <w:sz w:val="20"/>
                <w:szCs w:val="20"/>
              </w:rPr>
              <w:t>of</w:t>
            </w:r>
            <w:r w:rsidR="002537C6" w:rsidRPr="00D8773D">
              <w:rPr>
                <w:sz w:val="20"/>
                <w:szCs w:val="20"/>
              </w:rPr>
              <w:t xml:space="preserve"> </w:t>
            </w:r>
            <w:r w:rsidRPr="00D8773D">
              <w:rPr>
                <w:sz w:val="20"/>
                <w:szCs w:val="20"/>
              </w:rPr>
              <w:t xml:space="preserve">reporting Guidelines </w:t>
            </w:r>
          </w:p>
        </w:tc>
      </w:tr>
    </w:tbl>
    <w:p w14:paraId="1D76C25E" w14:textId="77777777" w:rsidR="006406E5" w:rsidRDefault="006406E5" w:rsidP="006406E5">
      <w:pPr>
        <w:pStyle w:val="StandardNum"/>
        <w:numPr>
          <w:ilvl w:val="0"/>
          <w:numId w:val="0"/>
        </w:numPr>
      </w:pPr>
    </w:p>
    <w:p w14:paraId="700B42A6" w14:textId="77777777" w:rsidR="00780422" w:rsidRPr="00780422" w:rsidRDefault="00780422" w:rsidP="00535A0D">
      <w:pPr>
        <w:pStyle w:val="StandardNum"/>
        <w:ind w:left="0"/>
      </w:pPr>
      <w:r>
        <w:t>The review was split in</w:t>
      </w:r>
      <w:r w:rsidR="00256024">
        <w:t>to</w:t>
      </w:r>
      <w:r>
        <w:t xml:space="preserve"> t</w:t>
      </w:r>
      <w:r w:rsidR="007B08D3">
        <w:t>wo</w:t>
      </w:r>
      <w:r>
        <w:t xml:space="preserve"> phases</w:t>
      </w:r>
      <w:r w:rsidR="009B1B76">
        <w:t>:</w:t>
      </w:r>
    </w:p>
    <w:p w14:paraId="7B08C47A" w14:textId="77777777" w:rsidR="0014045C" w:rsidRPr="00A023E0" w:rsidRDefault="00A023E0" w:rsidP="001D3DE5">
      <w:pPr>
        <w:pStyle w:val="Sraopastraipa"/>
        <w:numPr>
          <w:ilvl w:val="0"/>
          <w:numId w:val="4"/>
        </w:numPr>
        <w:jc w:val="both"/>
      </w:pPr>
      <w:r w:rsidRPr="00B34B14">
        <w:rPr>
          <w:b/>
        </w:rPr>
        <w:t>Initial checks</w:t>
      </w:r>
      <w:r w:rsidR="00DF581B">
        <w:t xml:space="preserve"> </w:t>
      </w:r>
      <w:r w:rsidR="00EC5C21" w:rsidRPr="00A023E0">
        <w:t>w</w:t>
      </w:r>
      <w:r w:rsidRPr="00A023E0">
        <w:t>ere</w:t>
      </w:r>
      <w:r w:rsidR="00EC5C21" w:rsidRPr="00A023E0">
        <w:t xml:space="preserve"> carried out by the </w:t>
      </w:r>
      <w:r w:rsidRPr="00434697">
        <w:t>project</w:t>
      </w:r>
      <w:r w:rsidR="00F13775" w:rsidRPr="00434697">
        <w:t xml:space="preserve"> team</w:t>
      </w:r>
      <w:r w:rsidR="00F13775">
        <w:t xml:space="preserve"> </w:t>
      </w:r>
      <w:r w:rsidR="00F13775" w:rsidRPr="005A30AF">
        <w:t xml:space="preserve">under </w:t>
      </w:r>
      <w:r w:rsidR="00D72058" w:rsidRPr="00D72058">
        <w:t>service Contract No. 070201/2019/8159797/SER/ENV.C.3</w:t>
      </w:r>
      <w:r w:rsidR="00C21C15">
        <w:t>.</w:t>
      </w:r>
      <w:r w:rsidR="00C7208B">
        <w:t xml:space="preserve"> </w:t>
      </w:r>
      <w:r w:rsidR="00F13775">
        <w:t>Significant f</w:t>
      </w:r>
      <w:r w:rsidR="00EC5C21" w:rsidRPr="00A023E0">
        <w:t>indings from the initial checks that were not resolved within the initial check</w:t>
      </w:r>
      <w:r w:rsidR="00877E9F">
        <w:t>s</w:t>
      </w:r>
      <w:r w:rsidR="00EC5C21" w:rsidRPr="00A023E0">
        <w:t xml:space="preserve"> phase were followed up </w:t>
      </w:r>
      <w:r>
        <w:t xml:space="preserve">by </w:t>
      </w:r>
      <w:r w:rsidR="008C64C0">
        <w:t xml:space="preserve">the </w:t>
      </w:r>
      <w:r w:rsidR="000F414C">
        <w:t>technical expert review team</w:t>
      </w:r>
      <w:r>
        <w:t xml:space="preserve"> </w:t>
      </w:r>
      <w:r w:rsidR="00256024">
        <w:t xml:space="preserve">during </w:t>
      </w:r>
      <w:r w:rsidR="008C64C0">
        <w:t xml:space="preserve">the </w:t>
      </w:r>
      <w:r w:rsidR="00256024">
        <w:t>d</w:t>
      </w:r>
      <w:r>
        <w:t>esk</w:t>
      </w:r>
      <w:r w:rsidR="00256024">
        <w:t xml:space="preserve"> review</w:t>
      </w:r>
      <w:r>
        <w:t xml:space="preserve"> and </w:t>
      </w:r>
      <w:r w:rsidR="00256024">
        <w:t>c</w:t>
      </w:r>
      <w:r>
        <w:t xml:space="preserve">entralised </w:t>
      </w:r>
      <w:r w:rsidR="00256024">
        <w:t>r</w:t>
      </w:r>
      <w:r>
        <w:t xml:space="preserve">eview. </w:t>
      </w:r>
    </w:p>
    <w:p w14:paraId="1A6664FF" w14:textId="77777777" w:rsidR="002750E2" w:rsidRDefault="00FD7F6A" w:rsidP="001D3DE5">
      <w:pPr>
        <w:pStyle w:val="Sraopastraipa"/>
        <w:numPr>
          <w:ilvl w:val="0"/>
          <w:numId w:val="4"/>
        </w:numPr>
        <w:contextualSpacing w:val="0"/>
        <w:jc w:val="both"/>
        <w:rPr>
          <w:lang w:val="en-US"/>
        </w:rPr>
      </w:pPr>
      <w:r>
        <w:rPr>
          <w:b/>
        </w:rPr>
        <w:t>A d</w:t>
      </w:r>
      <w:r w:rsidR="00A023E0" w:rsidRPr="00B34B14">
        <w:rPr>
          <w:b/>
        </w:rPr>
        <w:t xml:space="preserve">esk </w:t>
      </w:r>
      <w:r>
        <w:rPr>
          <w:b/>
        </w:rPr>
        <w:t>r</w:t>
      </w:r>
      <w:r w:rsidR="008C64C0">
        <w:rPr>
          <w:b/>
        </w:rPr>
        <w:t xml:space="preserve">eview </w:t>
      </w:r>
      <w:r w:rsidR="00A023E0" w:rsidRPr="00B34B14">
        <w:rPr>
          <w:b/>
        </w:rPr>
        <w:t xml:space="preserve">and </w:t>
      </w:r>
      <w:r>
        <w:rPr>
          <w:b/>
        </w:rPr>
        <w:t>c</w:t>
      </w:r>
      <w:r w:rsidR="00A023E0" w:rsidRPr="00B34B14">
        <w:rPr>
          <w:b/>
        </w:rPr>
        <w:t xml:space="preserve">entralised </w:t>
      </w:r>
      <w:r>
        <w:rPr>
          <w:b/>
        </w:rPr>
        <w:t>r</w:t>
      </w:r>
      <w:r w:rsidR="00EC5C21" w:rsidRPr="00B34B14">
        <w:rPr>
          <w:b/>
        </w:rPr>
        <w:t>eview</w:t>
      </w:r>
      <w:r w:rsidR="00C7208B">
        <w:t xml:space="preserve"> </w:t>
      </w:r>
      <w:r w:rsidR="00EC5C21" w:rsidRPr="00A023E0">
        <w:t>w</w:t>
      </w:r>
      <w:r>
        <w:t xml:space="preserve">ere </w:t>
      </w:r>
      <w:r w:rsidR="00EC5C21" w:rsidRPr="00A023E0">
        <w:t xml:space="preserve">performed by </w:t>
      </w:r>
      <w:r w:rsidR="008C64C0">
        <w:t>the</w:t>
      </w:r>
      <w:r w:rsidR="00C7208B">
        <w:t xml:space="preserve"> </w:t>
      </w:r>
      <w:r>
        <w:t>technical expert review team</w:t>
      </w:r>
      <w:r w:rsidR="00C7208B">
        <w:t xml:space="preserve"> </w:t>
      </w:r>
      <w:r w:rsidR="00EC5C21" w:rsidRPr="005A30AF">
        <w:t xml:space="preserve">under </w:t>
      </w:r>
      <w:r w:rsidR="00AB0151" w:rsidRPr="00D72058">
        <w:t>Contract No. 070201/2019/8159797/SER/ENV.C.3</w:t>
      </w:r>
      <w:r>
        <w:t xml:space="preserve">. </w:t>
      </w:r>
      <w:r w:rsidR="00EC5C21" w:rsidRPr="00FD7F6A">
        <w:rPr>
          <w:lang w:val="en-US"/>
        </w:rPr>
        <w:t xml:space="preserve">The </w:t>
      </w:r>
      <w:r w:rsidR="002F5A30">
        <w:rPr>
          <w:lang w:val="en-US"/>
        </w:rPr>
        <w:t>technical expert review team</w:t>
      </w:r>
      <w:r w:rsidR="00334D36" w:rsidRPr="007E5D9D">
        <w:rPr>
          <w:lang w:val="en-US"/>
        </w:rPr>
        <w:t xml:space="preserve"> consisted of </w:t>
      </w:r>
      <w:r w:rsidR="00EC5C21" w:rsidRPr="007E5D9D">
        <w:rPr>
          <w:lang w:val="en-US"/>
        </w:rPr>
        <w:t>the following experts:</w:t>
      </w:r>
    </w:p>
    <w:p w14:paraId="653D5B08" w14:textId="77777777" w:rsidR="001764D4" w:rsidRPr="00026000" w:rsidRDefault="001764D4" w:rsidP="001764D4">
      <w:pPr>
        <w:pStyle w:val="Sraopastraipa"/>
        <w:numPr>
          <w:ilvl w:val="0"/>
          <w:numId w:val="12"/>
        </w:numPr>
        <w:rPr>
          <w:lang w:val="de-AT"/>
        </w:rPr>
      </w:pPr>
      <w:r w:rsidRPr="00026000">
        <w:rPr>
          <w:b/>
          <w:lang w:val="de-AT"/>
        </w:rPr>
        <w:t>Lead Reviewers:</w:t>
      </w:r>
      <w:r w:rsidRPr="00026000">
        <w:rPr>
          <w:lang w:val="de-AT"/>
        </w:rPr>
        <w:t xml:space="preserve"> Justin Goodwin, Anne Misra, Ole-Kenneth Nielsen </w:t>
      </w:r>
    </w:p>
    <w:p w14:paraId="7DDA3E49" w14:textId="77777777" w:rsidR="001764D4" w:rsidRPr="00026000" w:rsidRDefault="001764D4" w:rsidP="001764D4">
      <w:pPr>
        <w:pStyle w:val="Sraopastraipa"/>
        <w:numPr>
          <w:ilvl w:val="0"/>
          <w:numId w:val="12"/>
        </w:numPr>
        <w:rPr>
          <w:lang w:val="de-AT"/>
        </w:rPr>
      </w:pPr>
      <w:r w:rsidRPr="00026000">
        <w:rPr>
          <w:b/>
          <w:lang w:val="de-AT"/>
        </w:rPr>
        <w:t>Energy:</w:t>
      </w:r>
      <w:r w:rsidRPr="00026000">
        <w:rPr>
          <w:lang w:val="de-AT"/>
        </w:rPr>
        <w:t xml:space="preserve"> Stijn Dellaert, Marlene Schmidt Plejdrup, Robert Stewart</w:t>
      </w:r>
    </w:p>
    <w:p w14:paraId="38946471" w14:textId="77777777" w:rsidR="001764D4" w:rsidRPr="00166CB9" w:rsidRDefault="001764D4" w:rsidP="001764D4">
      <w:pPr>
        <w:pStyle w:val="Sraopastraipa"/>
        <w:numPr>
          <w:ilvl w:val="0"/>
          <w:numId w:val="12"/>
        </w:numPr>
        <w:rPr>
          <w:lang w:val="fr-BE"/>
        </w:rPr>
      </w:pPr>
      <w:r w:rsidRPr="00166CB9">
        <w:rPr>
          <w:b/>
          <w:lang w:val="fr-BE"/>
        </w:rPr>
        <w:t>Transport:</w:t>
      </w:r>
      <w:r w:rsidRPr="00166CB9">
        <w:rPr>
          <w:lang w:val="fr-BE"/>
        </w:rPr>
        <w:t xml:space="preserve"> Jean-Marc André, Matina Kastori, Yvonne Pang</w:t>
      </w:r>
    </w:p>
    <w:p w14:paraId="2FDE0883" w14:textId="77777777" w:rsidR="001764D4" w:rsidRPr="00166CB9" w:rsidRDefault="001764D4" w:rsidP="001764D4">
      <w:pPr>
        <w:pStyle w:val="Sraopastraipa"/>
        <w:numPr>
          <w:ilvl w:val="0"/>
          <w:numId w:val="12"/>
        </w:numPr>
        <w:rPr>
          <w:lang w:val="fr-BE"/>
        </w:rPr>
      </w:pPr>
      <w:r w:rsidRPr="00166CB9">
        <w:rPr>
          <w:b/>
          <w:lang w:val="fr-BE"/>
        </w:rPr>
        <w:t>IPPU:</w:t>
      </w:r>
      <w:r w:rsidRPr="00166CB9">
        <w:rPr>
          <w:lang w:val="fr-BE"/>
        </w:rPr>
        <w:t xml:space="preserve"> Co</w:t>
      </w:r>
      <w:r>
        <w:rPr>
          <w:lang w:val="fr-BE"/>
        </w:rPr>
        <w:t>ralie</w:t>
      </w:r>
      <w:r w:rsidRPr="00166CB9">
        <w:rPr>
          <w:lang w:val="fr-BE"/>
        </w:rPr>
        <w:t xml:space="preserve"> Jeannot, Ils Moorkens, Maria Purzner</w:t>
      </w:r>
    </w:p>
    <w:p w14:paraId="73F94BAC" w14:textId="77777777" w:rsidR="001764D4" w:rsidRPr="00026000" w:rsidRDefault="001764D4" w:rsidP="001764D4">
      <w:pPr>
        <w:pStyle w:val="Sraopastraipa"/>
        <w:numPr>
          <w:ilvl w:val="0"/>
          <w:numId w:val="12"/>
        </w:numPr>
        <w:rPr>
          <w:lang w:val="en-US"/>
        </w:rPr>
      </w:pPr>
      <w:r w:rsidRPr="00026000">
        <w:rPr>
          <w:b/>
          <w:lang w:val="en-US"/>
        </w:rPr>
        <w:t>Agriculture:</w:t>
      </w:r>
      <w:r w:rsidRPr="00026000">
        <w:rPr>
          <w:lang w:val="en-US"/>
        </w:rPr>
        <w:t xml:space="preserve"> Anais Durand, Mette Mikkelsen and Beatriz Sánchez</w:t>
      </w:r>
    </w:p>
    <w:p w14:paraId="3DD90DA1" w14:textId="77777777" w:rsidR="001764D4" w:rsidRPr="00026000" w:rsidRDefault="001764D4" w:rsidP="001764D4">
      <w:pPr>
        <w:pStyle w:val="Sraopastraipa"/>
        <w:numPr>
          <w:ilvl w:val="0"/>
          <w:numId w:val="12"/>
        </w:numPr>
        <w:rPr>
          <w:lang w:val="en-US"/>
        </w:rPr>
      </w:pPr>
      <w:r w:rsidRPr="00026000">
        <w:rPr>
          <w:b/>
          <w:lang w:val="en-US"/>
        </w:rPr>
        <w:t>Waste:</w:t>
      </w:r>
      <w:r w:rsidRPr="00026000">
        <w:rPr>
          <w:lang w:val="en-US"/>
        </w:rPr>
        <w:t xml:space="preserve"> Romain Bort</w:t>
      </w:r>
      <w:r>
        <w:rPr>
          <w:lang w:val="en-US"/>
        </w:rPr>
        <w:t>,</w:t>
      </w:r>
      <w:r w:rsidRPr="00026000">
        <w:rPr>
          <w:lang w:val="en-US"/>
        </w:rPr>
        <w:t xml:space="preserve"> Céline Gueguen and Dirk Wever</w:t>
      </w:r>
    </w:p>
    <w:p w14:paraId="4AECB4FA" w14:textId="77777777" w:rsidR="001764D4" w:rsidRPr="00026000" w:rsidRDefault="001764D4" w:rsidP="001764D4">
      <w:pPr>
        <w:pStyle w:val="Sraopastraipa"/>
        <w:numPr>
          <w:ilvl w:val="0"/>
          <w:numId w:val="12"/>
        </w:numPr>
        <w:rPr>
          <w:lang w:val="de-AT"/>
        </w:rPr>
      </w:pPr>
      <w:r w:rsidRPr="00026000">
        <w:rPr>
          <w:b/>
          <w:lang w:val="de-AT"/>
        </w:rPr>
        <w:t>Gridding:</w:t>
      </w:r>
      <w:r w:rsidRPr="00026000">
        <w:rPr>
          <w:lang w:val="de-AT"/>
        </w:rPr>
        <w:t xml:space="preserve"> Katie King, Jeroen Kuenen, Ioannis Tsagatakis</w:t>
      </w:r>
    </w:p>
    <w:p w14:paraId="75E7AC57" w14:textId="77777777" w:rsidR="006733C3" w:rsidRPr="00AB0151" w:rsidRDefault="006733C3" w:rsidP="00AB0151">
      <w:pPr>
        <w:ind w:left="426"/>
        <w:rPr>
          <w:highlight w:val="magenta"/>
          <w:lang w:val="en-US"/>
        </w:rPr>
      </w:pPr>
      <w:r>
        <w:rPr>
          <w:lang w:val="en-US"/>
        </w:rPr>
        <w:t xml:space="preserve">This year the desk review had two phases: an initial four weeks for sector experts to review inventories with one week for Member States </w:t>
      </w:r>
      <w:r w:rsidR="001764D4">
        <w:rPr>
          <w:lang w:val="en-US"/>
        </w:rPr>
        <w:t xml:space="preserve">and the UK </w:t>
      </w:r>
      <w:r>
        <w:rPr>
          <w:lang w:val="en-US"/>
        </w:rPr>
        <w:t xml:space="preserve">to reply to questions; then a further two weeks for sector experts and lead reviewers to send follow-up questions with one week for Member States </w:t>
      </w:r>
      <w:r w:rsidR="001764D4">
        <w:rPr>
          <w:lang w:val="en-US"/>
        </w:rPr>
        <w:t xml:space="preserve">and the UK </w:t>
      </w:r>
      <w:r>
        <w:rPr>
          <w:lang w:val="en-US"/>
        </w:rPr>
        <w:t xml:space="preserve">to reply. After this the </w:t>
      </w:r>
      <w:r w:rsidR="00B406ED">
        <w:rPr>
          <w:lang w:val="en-US"/>
        </w:rPr>
        <w:t>one-week</w:t>
      </w:r>
      <w:r>
        <w:rPr>
          <w:lang w:val="en-US"/>
        </w:rPr>
        <w:t xml:space="preserve"> centrali</w:t>
      </w:r>
      <w:r w:rsidR="00877E9F">
        <w:rPr>
          <w:lang w:val="en-US"/>
        </w:rPr>
        <w:t>s</w:t>
      </w:r>
      <w:r>
        <w:rPr>
          <w:lang w:val="en-US"/>
        </w:rPr>
        <w:t>ed review took place</w:t>
      </w:r>
      <w:r w:rsidR="00B406ED">
        <w:rPr>
          <w:lang w:val="en-US"/>
        </w:rPr>
        <w:t xml:space="preserve"> </w:t>
      </w:r>
      <w:r w:rsidR="001764D4">
        <w:rPr>
          <w:lang w:val="en-US"/>
        </w:rPr>
        <w:t>remotely.</w:t>
      </w:r>
    </w:p>
    <w:p w14:paraId="53CB776C" w14:textId="77777777" w:rsidR="00334D36" w:rsidRPr="005C228E" w:rsidRDefault="00EC5C21" w:rsidP="00535A0D">
      <w:pPr>
        <w:pStyle w:val="StandardNum"/>
        <w:ind w:left="0"/>
      </w:pPr>
      <w:r w:rsidRPr="005C228E">
        <w:t xml:space="preserve">The </w:t>
      </w:r>
      <w:r w:rsidR="00FD7F6A">
        <w:t>desk review and c</w:t>
      </w:r>
      <w:r w:rsidR="00EB16BC" w:rsidRPr="005C228E">
        <w:t xml:space="preserve">entralised </w:t>
      </w:r>
      <w:r w:rsidR="00FD7F6A">
        <w:t>r</w:t>
      </w:r>
      <w:r w:rsidR="00EB16BC" w:rsidRPr="005C228E">
        <w:t xml:space="preserve">eview </w:t>
      </w:r>
      <w:r w:rsidRPr="005C228E">
        <w:t>w</w:t>
      </w:r>
      <w:r w:rsidR="00712662">
        <w:t xml:space="preserve">ere </w:t>
      </w:r>
      <w:r w:rsidRPr="005C228E">
        <w:t xml:space="preserve">coordinated by </w:t>
      </w:r>
      <w:r w:rsidR="00712662">
        <w:t xml:space="preserve">the </w:t>
      </w:r>
      <w:r w:rsidR="00635C20">
        <w:t>project team (</w:t>
      </w:r>
      <w:r w:rsidR="00877E9F">
        <w:t xml:space="preserve">led by </w:t>
      </w:r>
      <w:r w:rsidR="001E414D" w:rsidRPr="005C228E">
        <w:t>Sabine Schindlbacher</w:t>
      </w:r>
      <w:r w:rsidR="00877E9F">
        <w:t xml:space="preserve"> and</w:t>
      </w:r>
      <w:r w:rsidR="00EB16BC" w:rsidRPr="005C228E">
        <w:t xml:space="preserve"> </w:t>
      </w:r>
      <w:r w:rsidR="001E414D" w:rsidRPr="005C228E">
        <w:t>Chris Dore</w:t>
      </w:r>
      <w:r w:rsidR="00635C20">
        <w:t>)</w:t>
      </w:r>
      <w:r w:rsidR="00EB16BC" w:rsidRPr="005C228E">
        <w:t>.</w:t>
      </w:r>
    </w:p>
    <w:p w14:paraId="3FB140C7" w14:textId="77777777" w:rsidR="00EC5C21" w:rsidRPr="005C228E" w:rsidRDefault="00334D36" w:rsidP="00535A0D">
      <w:pPr>
        <w:pStyle w:val="StandardNum"/>
        <w:ind w:left="0"/>
      </w:pPr>
      <w:r w:rsidRPr="005C228E">
        <w:t xml:space="preserve">The </w:t>
      </w:r>
      <w:r w:rsidR="00EC5C21" w:rsidRPr="005C228E">
        <w:t xml:space="preserve">EEA </w:t>
      </w:r>
      <w:r w:rsidR="00EB16BC" w:rsidRPr="005C228E">
        <w:t>R</w:t>
      </w:r>
      <w:r w:rsidR="00EC5C21" w:rsidRPr="005C228E">
        <w:t xml:space="preserve">eview </w:t>
      </w:r>
      <w:r w:rsidR="00EB16BC" w:rsidRPr="005C228E">
        <w:t>S</w:t>
      </w:r>
      <w:r w:rsidR="00EC5C21" w:rsidRPr="005C228E">
        <w:t xml:space="preserve">ecretariat </w:t>
      </w:r>
      <w:r w:rsidR="00C93D28">
        <w:t xml:space="preserve">led </w:t>
      </w:r>
      <w:r w:rsidR="00AB0151">
        <w:t>by</w:t>
      </w:r>
      <w:r w:rsidR="0051248C" w:rsidRPr="0051248C">
        <w:t xml:space="preserve"> </w:t>
      </w:r>
      <w:r w:rsidR="0051248C" w:rsidRPr="005C228E">
        <w:t>Federico Antognazza</w:t>
      </w:r>
      <w:r w:rsidR="0051248C">
        <w:t xml:space="preserve"> </w:t>
      </w:r>
      <w:r w:rsidR="005A30AF" w:rsidRPr="005C228E">
        <w:t>supported</w:t>
      </w:r>
      <w:r w:rsidR="00C7208B" w:rsidRPr="005C228E">
        <w:t xml:space="preserve"> </w:t>
      </w:r>
      <w:r w:rsidRPr="005C228E">
        <w:t xml:space="preserve">the </w:t>
      </w:r>
      <w:r w:rsidR="00C93D28">
        <w:t>NECD Review 2020</w:t>
      </w:r>
      <w:r w:rsidR="00F13775" w:rsidRPr="005C228E">
        <w:t>.</w:t>
      </w:r>
    </w:p>
    <w:p w14:paraId="0E0EE445" w14:textId="127C022D" w:rsidR="006A4812" w:rsidRDefault="00EC5C21" w:rsidP="00535A0D">
      <w:pPr>
        <w:pStyle w:val="StandardNum"/>
        <w:ind w:left="0"/>
      </w:pPr>
      <w:r w:rsidRPr="00A023E0">
        <w:t xml:space="preserve">The review was performed on the basis of </w:t>
      </w:r>
      <w:r w:rsidR="00A023E0" w:rsidRPr="00A023E0">
        <w:t xml:space="preserve">NECD </w:t>
      </w:r>
      <w:r w:rsidRPr="00A023E0">
        <w:t xml:space="preserve">emission data officially reported by </w:t>
      </w:r>
      <w:r w:rsidR="007F4E77">
        <w:t xml:space="preserve">Lithuania </w:t>
      </w:r>
      <w:r w:rsidR="005A30AF" w:rsidRPr="007F4E77">
        <w:t xml:space="preserve">by </w:t>
      </w:r>
      <w:r w:rsidR="0014045C" w:rsidRPr="007F4E77">
        <w:t>1</w:t>
      </w:r>
      <w:r w:rsidR="00A023E0" w:rsidRPr="007F4E77">
        <w:t>5</w:t>
      </w:r>
      <w:r w:rsidR="005A30AF" w:rsidRPr="007F4E77">
        <w:t xml:space="preserve"> February</w:t>
      </w:r>
      <w:r w:rsidR="00C7208B" w:rsidRPr="007F4E77">
        <w:t xml:space="preserve"> </w:t>
      </w:r>
      <w:r w:rsidR="002679B7" w:rsidRPr="007F4E77">
        <w:t>20</w:t>
      </w:r>
      <w:r w:rsidR="007D56DA" w:rsidRPr="007F4E77">
        <w:t>20 for</w:t>
      </w:r>
      <w:r w:rsidR="007D56DA">
        <w:t xml:space="preserve"> emission inventor</w:t>
      </w:r>
      <w:r w:rsidR="006E72F8">
        <w:t>y</w:t>
      </w:r>
      <w:r w:rsidR="007D56DA">
        <w:t xml:space="preserve"> and </w:t>
      </w:r>
      <w:r w:rsidR="007D56DA" w:rsidRPr="007F4E77">
        <w:t>by</w:t>
      </w:r>
      <w:r w:rsidR="002679B7" w:rsidRPr="007F4E77">
        <w:t xml:space="preserve"> </w:t>
      </w:r>
      <w:bookmarkStart w:id="6" w:name="_Hlk47104615"/>
      <w:r w:rsidR="007D56DA" w:rsidRPr="007F4E77">
        <w:t xml:space="preserve">1 May 2017 </w:t>
      </w:r>
      <w:bookmarkEnd w:id="6"/>
      <w:r w:rsidR="007D56DA" w:rsidRPr="007F4E77">
        <w:t>for</w:t>
      </w:r>
      <w:r w:rsidR="007D56DA">
        <w:t xml:space="preserve"> gridded emission inventory data and LPS data. The</w:t>
      </w:r>
      <w:r w:rsidR="00D8773D" w:rsidRPr="00A023E0">
        <w:t xml:space="preserve"> </w:t>
      </w:r>
      <w:r w:rsidR="00D8773D">
        <w:t>I</w:t>
      </w:r>
      <w:r w:rsidR="00D8773D" w:rsidRPr="00A023E0">
        <w:t xml:space="preserve">nformative </w:t>
      </w:r>
      <w:r w:rsidR="00D8773D">
        <w:t>I</w:t>
      </w:r>
      <w:r w:rsidR="00D8773D" w:rsidRPr="00A023E0">
        <w:t xml:space="preserve">nventory </w:t>
      </w:r>
      <w:r w:rsidR="00D8773D">
        <w:t>R</w:t>
      </w:r>
      <w:r w:rsidR="00FD7F6A">
        <w:t>eport</w:t>
      </w:r>
      <w:r w:rsidR="00877E9F">
        <w:t xml:space="preserve">s </w:t>
      </w:r>
      <w:r w:rsidR="00FD7F6A">
        <w:t>(IIR</w:t>
      </w:r>
      <w:r w:rsidR="00D8773D" w:rsidRPr="00A023E0">
        <w:t>)</w:t>
      </w:r>
      <w:r w:rsidR="002679B7">
        <w:t xml:space="preserve"> reported </w:t>
      </w:r>
      <w:r w:rsidR="00F13775">
        <w:t xml:space="preserve">by </w:t>
      </w:r>
      <w:r w:rsidR="00F13775" w:rsidRPr="007F4E77">
        <w:t>15 March 20</w:t>
      </w:r>
      <w:r w:rsidR="007D56DA" w:rsidRPr="007F4E77">
        <w:t>20</w:t>
      </w:r>
      <w:r w:rsidR="00D8773D">
        <w:t xml:space="preserve"> </w:t>
      </w:r>
      <w:r w:rsidR="007D56DA">
        <w:t xml:space="preserve">under the </w:t>
      </w:r>
      <w:r w:rsidR="00A023E0">
        <w:t>NEC</w:t>
      </w:r>
      <w:r w:rsidR="00877E9F">
        <w:t>D</w:t>
      </w:r>
      <w:r w:rsidR="007D56DA">
        <w:t xml:space="preserve"> were taken as a base for the review</w:t>
      </w:r>
      <w:r w:rsidRPr="00A023E0">
        <w:t>.</w:t>
      </w:r>
      <w:r w:rsidR="00C7208B">
        <w:t xml:space="preserve"> </w:t>
      </w:r>
      <w:r w:rsidR="007D56DA">
        <w:t>For the review of emission inventor</w:t>
      </w:r>
      <w:r w:rsidR="006E72F8">
        <w:t>y</w:t>
      </w:r>
      <w:r w:rsidR="007D56DA">
        <w:t xml:space="preserve"> r</w:t>
      </w:r>
      <w:r w:rsidR="00AC166D">
        <w:t>esubmissions and o</w:t>
      </w:r>
      <w:r w:rsidR="00D8773D">
        <w:t xml:space="preserve">ther </w:t>
      </w:r>
      <w:r w:rsidR="005A30AF">
        <w:t>additional information</w:t>
      </w:r>
      <w:r w:rsidR="00C7208B">
        <w:t xml:space="preserve"> </w:t>
      </w:r>
      <w:r w:rsidR="007D56DA">
        <w:t>officially submitted</w:t>
      </w:r>
      <w:r w:rsidR="00C7208B">
        <w:t xml:space="preserve"> </w:t>
      </w:r>
      <w:r w:rsidR="005E063E" w:rsidRPr="00A023E0">
        <w:t xml:space="preserve">by </w:t>
      </w:r>
      <w:r w:rsidR="001A599A">
        <w:t>Member States</w:t>
      </w:r>
      <w:r w:rsidR="00BF314F">
        <w:t xml:space="preserve"> and the UK</w:t>
      </w:r>
      <w:r w:rsidR="005E063E" w:rsidRPr="00A023E0">
        <w:t xml:space="preserve"> were taken into account u</w:t>
      </w:r>
      <w:r w:rsidR="005E063E" w:rsidRPr="007F4E77">
        <w:t xml:space="preserve">ntil </w:t>
      </w:r>
      <w:r w:rsidR="003641FA" w:rsidRPr="007F4E77">
        <w:t>1 May</w:t>
      </w:r>
      <w:r w:rsidR="009352F7" w:rsidRPr="005C228E">
        <w:t xml:space="preserve"> </w:t>
      </w:r>
      <w:r w:rsidR="005E063E" w:rsidRPr="005C228E">
        <w:t>20</w:t>
      </w:r>
      <w:r w:rsidR="007D56DA">
        <w:t>20</w:t>
      </w:r>
      <w:r w:rsidR="005E063E" w:rsidRPr="005C228E">
        <w:t>.</w:t>
      </w:r>
      <w:r w:rsidR="005E063E">
        <w:t xml:space="preserve"> </w:t>
      </w:r>
      <w:r w:rsidR="007D56DA">
        <w:t xml:space="preserve">For the review of gridded emission inventory data and LPS data resubmissions were taken into account </w:t>
      </w:r>
      <w:r w:rsidR="007D56DA" w:rsidRPr="007F4E77">
        <w:t xml:space="preserve">until </w:t>
      </w:r>
      <w:r w:rsidR="003641FA" w:rsidRPr="007F4E77">
        <w:t>15 May 2020.</w:t>
      </w:r>
    </w:p>
    <w:p w14:paraId="6C57D39A" w14:textId="77777777" w:rsidR="005A30AF" w:rsidRDefault="00CC7CB7" w:rsidP="00535A0D">
      <w:pPr>
        <w:pStyle w:val="StandardNum"/>
        <w:ind w:left="0"/>
      </w:pPr>
      <w:r>
        <w:t xml:space="preserve">To avoid any potential conflicts of interest, </w:t>
      </w:r>
      <w:r w:rsidR="000012A4">
        <w:t>t</w:t>
      </w:r>
      <w:r w:rsidR="005A30AF" w:rsidRPr="005A30AF">
        <w:t xml:space="preserve">he lead reviewers and sector experts did not review emission inventories of </w:t>
      </w:r>
      <w:r w:rsidR="001A599A">
        <w:t>Member States</w:t>
      </w:r>
      <w:r w:rsidR="00BF314F">
        <w:t xml:space="preserve"> or the UK</w:t>
      </w:r>
      <w:r w:rsidR="005A30AF" w:rsidRPr="005A30AF">
        <w:t xml:space="preserve"> where these individuals have themselves contributed to the compilation of that inventory, or presently are or have been any part of the decision-making process related to the compilation of that inventory. Reviewers who are nationals of the </w:t>
      </w:r>
      <w:r w:rsidR="007F28DE">
        <w:t>Member State</w:t>
      </w:r>
      <w:r w:rsidR="002D1924">
        <w:t xml:space="preserve"> or the UK</w:t>
      </w:r>
      <w:r w:rsidR="005A30AF" w:rsidRPr="005A30AF">
        <w:t xml:space="preserve"> whose inventory is concerned, did </w:t>
      </w:r>
      <w:r w:rsidR="007F28DE">
        <w:t>not act as main sector expert for this Member State</w:t>
      </w:r>
      <w:r w:rsidR="002D1924">
        <w:t xml:space="preserve"> or the UK</w:t>
      </w:r>
      <w:r w:rsidR="00F821CA">
        <w:t>.</w:t>
      </w:r>
    </w:p>
    <w:p w14:paraId="005D9F0E" w14:textId="77777777" w:rsidR="00FF55F1" w:rsidRDefault="001E414D" w:rsidP="00FF55F1">
      <w:pPr>
        <w:pStyle w:val="StandardNum"/>
        <w:ind w:left="0"/>
      </w:pPr>
      <w:r w:rsidRPr="001E414D">
        <w:t xml:space="preserve">All </w:t>
      </w:r>
      <w:r w:rsidR="001D3DE5">
        <w:t>sector</w:t>
      </w:r>
      <w:r w:rsidR="001D3DE5" w:rsidRPr="001E414D">
        <w:t xml:space="preserve"> </w:t>
      </w:r>
      <w:r w:rsidRPr="001E414D">
        <w:t>experts</w:t>
      </w:r>
      <w:r w:rsidR="00C7208B">
        <w:t xml:space="preserve"> </w:t>
      </w:r>
      <w:r w:rsidRPr="001E414D">
        <w:t>sign</w:t>
      </w:r>
      <w:r>
        <w:t>ed</w:t>
      </w:r>
      <w:r w:rsidRPr="001E414D">
        <w:t xml:space="preserve"> confidentiality agreements in which they agree</w:t>
      </w:r>
      <w:r>
        <w:t>d</w:t>
      </w:r>
      <w:r w:rsidRPr="001E414D">
        <w:t xml:space="preserve"> to keep information received by </w:t>
      </w:r>
      <w:r w:rsidR="001A599A">
        <w:t>Member States</w:t>
      </w:r>
      <w:r w:rsidR="001764D4">
        <w:t xml:space="preserve"> and the UK</w:t>
      </w:r>
      <w:r w:rsidRPr="001E414D">
        <w:t xml:space="preserve"> confidential.</w:t>
      </w:r>
    </w:p>
    <w:p w14:paraId="22AB82FA" w14:textId="7C894968" w:rsidR="00FF55F1" w:rsidRDefault="00FF55F1" w:rsidP="00FF55F1">
      <w:pPr>
        <w:pStyle w:val="StandardNum"/>
        <w:ind w:left="0"/>
      </w:pPr>
      <w:r>
        <w:t>Definitions for findings included in the Final Review Report can be found in</w:t>
      </w:r>
      <w:r w:rsidR="006406E5">
        <w:t xml:space="preserve"> </w:t>
      </w:r>
      <w:r w:rsidR="006406E5">
        <w:fldChar w:fldCharType="begin"/>
      </w:r>
      <w:r w:rsidR="006406E5">
        <w:instrText xml:space="preserve"> REF _Ref47102405 \h </w:instrText>
      </w:r>
      <w:r w:rsidR="006406E5">
        <w:fldChar w:fldCharType="separate"/>
      </w:r>
      <w:r w:rsidR="00774955">
        <w:t xml:space="preserve">Table </w:t>
      </w:r>
      <w:r w:rsidR="00774955">
        <w:rPr>
          <w:noProof/>
        </w:rPr>
        <w:t>2</w:t>
      </w:r>
      <w:r w:rsidR="006406E5">
        <w:fldChar w:fldCharType="end"/>
      </w:r>
      <w:r w:rsidR="006406E5">
        <w:t xml:space="preserve">. </w:t>
      </w:r>
      <w:r w:rsidR="007F4E77" w:rsidRPr="007F4E77">
        <w:t xml:space="preserve">Findings listed </w:t>
      </w:r>
      <w:r w:rsidR="003D1D47" w:rsidRPr="003D1D47">
        <w:rPr>
          <w:rFonts w:asciiTheme="minorHAnsi" w:hAnsiTheme="minorHAnsi" w:cstheme="minorHAnsi"/>
        </w:rPr>
        <w:t xml:space="preserve">in the tables of recommendations are ordered by </w:t>
      </w:r>
      <w:r w:rsidR="007F4E77" w:rsidRPr="007F4E77">
        <w:t>type (</w:t>
      </w:r>
      <w:r w:rsidR="006406E5" w:rsidRPr="00AE1B2A">
        <w:t>T</w:t>
      </w:r>
      <w:r w:rsidR="006406E5">
        <w:t xml:space="preserve">echnical Corrections, Revised Estimates, Unquantified </w:t>
      </w:r>
      <w:r w:rsidR="006406E5" w:rsidRPr="00DF4DE4">
        <w:t>P</w:t>
      </w:r>
      <w:r w:rsidR="006406E5">
        <w:t>otential Technical Corrections, and R</w:t>
      </w:r>
      <w:r w:rsidR="006406E5" w:rsidRPr="00DF4DE4">
        <w:t>ecommendations</w:t>
      </w:r>
      <w:r w:rsidR="007F4E77" w:rsidRPr="007F4E77">
        <w:t>) and are second sorted by NFR code.</w:t>
      </w:r>
    </w:p>
    <w:p w14:paraId="28CC6EB7" w14:textId="4DA104CB" w:rsidR="00FF55F1" w:rsidRDefault="00FF55F1" w:rsidP="00FF55F1">
      <w:pPr>
        <w:pStyle w:val="Antrat"/>
        <w:keepNext/>
      </w:pPr>
      <w:bookmarkStart w:id="7" w:name="_Ref47102405"/>
      <w:bookmarkStart w:id="8" w:name="_Toc45263334"/>
      <w:bookmarkStart w:id="9" w:name="_Toc53738316"/>
      <w:r>
        <w:t xml:space="preserve">Table </w:t>
      </w:r>
      <w:r>
        <w:fldChar w:fldCharType="begin"/>
      </w:r>
      <w:r>
        <w:instrText>SEQ Table \* ARABIC</w:instrText>
      </w:r>
      <w:r>
        <w:fldChar w:fldCharType="separate"/>
      </w:r>
      <w:r w:rsidR="00774955">
        <w:rPr>
          <w:noProof/>
        </w:rPr>
        <w:t>2</w:t>
      </w:r>
      <w:r>
        <w:fldChar w:fldCharType="end"/>
      </w:r>
      <w:bookmarkEnd w:id="7"/>
      <w:r>
        <w:t>: Definitions for finding classifications of the NECD review.</w:t>
      </w:r>
      <w:bookmarkEnd w:id="8"/>
      <w:bookmarkEnd w:id="9"/>
    </w:p>
    <w:tbl>
      <w:tblPr>
        <w:tblW w:w="5000" w:type="pct"/>
        <w:tblCellMar>
          <w:left w:w="0" w:type="dxa"/>
          <w:right w:w="0" w:type="dxa"/>
        </w:tblCellMar>
        <w:tblLook w:val="04A0" w:firstRow="1" w:lastRow="0" w:firstColumn="1" w:lastColumn="0" w:noHBand="0" w:noVBand="1"/>
      </w:tblPr>
      <w:tblGrid>
        <w:gridCol w:w="1940"/>
        <w:gridCol w:w="7066"/>
      </w:tblGrid>
      <w:tr w:rsidR="00FF55F1" w14:paraId="7772CE84" w14:textId="77777777" w:rsidTr="00C76A0E">
        <w:trPr>
          <w:trHeight w:val="427"/>
        </w:trPr>
        <w:tc>
          <w:tcPr>
            <w:tcW w:w="5000" w:type="pct"/>
            <w:gridSpan w:val="2"/>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14:paraId="45C025B1" w14:textId="77777777" w:rsidR="00FF55F1" w:rsidRDefault="00FF55F1" w:rsidP="00C76A0E">
            <w:pPr>
              <w:keepNext/>
              <w:keepLines/>
              <w:spacing w:after="0" w:line="480" w:lineRule="auto"/>
              <w:rPr>
                <w:lang w:eastAsia="en-GB"/>
              </w:rPr>
            </w:pPr>
            <w:r w:rsidRPr="00C76A0E">
              <w:rPr>
                <w:rFonts w:eastAsia="Times New Roman" w:cs="Times New Roman"/>
                <w:b/>
                <w:bCs/>
                <w:color w:val="FFFFFF" w:themeColor="background1"/>
                <w:sz w:val="20"/>
                <w:szCs w:val="20"/>
                <w:lang w:eastAsia="en-GB"/>
              </w:rPr>
              <w:t>Concluded Findings</w:t>
            </w:r>
          </w:p>
        </w:tc>
      </w:tr>
      <w:tr w:rsidR="00FF55F1" w14:paraId="7C0F5A13" w14:textId="77777777" w:rsidTr="00C76A0E">
        <w:trPr>
          <w:trHeight w:val="983"/>
        </w:trPr>
        <w:tc>
          <w:tcPr>
            <w:tcW w:w="10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698848" w14:textId="77777777" w:rsidR="00FF55F1" w:rsidRPr="00610486" w:rsidRDefault="00FF55F1">
            <w:pPr>
              <w:rPr>
                <w:sz w:val="20"/>
                <w:szCs w:val="20"/>
                <w:lang w:eastAsia="en-GB"/>
              </w:rPr>
            </w:pPr>
            <w:r w:rsidRPr="00610486">
              <w:rPr>
                <w:sz w:val="20"/>
                <w:szCs w:val="20"/>
                <w:lang w:eastAsia="en-GB"/>
              </w:rPr>
              <w:t>Recommendation</w:t>
            </w:r>
          </w:p>
        </w:tc>
        <w:tc>
          <w:tcPr>
            <w:tcW w:w="39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9DDC0B" w14:textId="77777777" w:rsidR="00FF55F1" w:rsidRPr="00610486" w:rsidRDefault="00FF55F1">
            <w:pPr>
              <w:rPr>
                <w:sz w:val="20"/>
                <w:szCs w:val="20"/>
                <w:lang w:eastAsia="en-GB"/>
              </w:rPr>
            </w:pPr>
            <w:r w:rsidRPr="00610486">
              <w:rPr>
                <w:sz w:val="20"/>
                <w:szCs w:val="20"/>
                <w:lang w:eastAsia="en-GB"/>
              </w:rPr>
              <w:t xml:space="preserve">Findings where an identified issue has not been resolved during the course of the review and which is not for a mandatory year or category or above the threshold of significance. </w:t>
            </w:r>
          </w:p>
        </w:tc>
      </w:tr>
      <w:tr w:rsidR="00FF55F1" w14:paraId="2A7826AC" w14:textId="77777777" w:rsidTr="00C76A0E">
        <w:trPr>
          <w:trHeight w:val="967"/>
        </w:trPr>
        <w:tc>
          <w:tcPr>
            <w:tcW w:w="107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3FF8110" w14:textId="77777777" w:rsidR="00FF55F1" w:rsidRPr="00610486" w:rsidRDefault="00FF55F1">
            <w:pPr>
              <w:rPr>
                <w:sz w:val="20"/>
                <w:szCs w:val="20"/>
                <w:lang w:eastAsia="en-GB"/>
              </w:rPr>
            </w:pPr>
            <w:r w:rsidRPr="00610486">
              <w:rPr>
                <w:sz w:val="20"/>
                <w:szCs w:val="20"/>
                <w:lang w:eastAsia="en-GB"/>
              </w:rPr>
              <w:t>RE</w:t>
            </w:r>
          </w:p>
        </w:tc>
        <w:tc>
          <w:tcPr>
            <w:tcW w:w="3923" w:type="pct"/>
            <w:tcBorders>
              <w:top w:val="nil"/>
              <w:left w:val="nil"/>
              <w:bottom w:val="single" w:sz="4" w:space="0" w:color="auto"/>
              <w:right w:val="single" w:sz="8" w:space="0" w:color="auto"/>
            </w:tcBorders>
            <w:tcMar>
              <w:top w:w="0" w:type="dxa"/>
              <w:left w:w="108" w:type="dxa"/>
              <w:bottom w:w="0" w:type="dxa"/>
              <w:right w:w="108" w:type="dxa"/>
            </w:tcMar>
            <w:hideMark/>
          </w:tcPr>
          <w:p w14:paraId="2C072DE3" w14:textId="77777777" w:rsidR="00FF55F1" w:rsidRPr="00610486" w:rsidRDefault="00FF55F1">
            <w:pPr>
              <w:rPr>
                <w:sz w:val="20"/>
                <w:szCs w:val="20"/>
                <w:lang w:eastAsia="en-GB"/>
              </w:rPr>
            </w:pPr>
            <w:r w:rsidRPr="00610486">
              <w:rPr>
                <w:sz w:val="20"/>
                <w:szCs w:val="20"/>
                <w:lang w:eastAsia="en-GB"/>
              </w:rPr>
              <w:t xml:space="preserve">Revised Estimate: Findings for which a Member State or the UK has provided new estimates in response to an issue raised by the technical expert review team (TERT) during the course of the review. </w:t>
            </w:r>
          </w:p>
        </w:tc>
      </w:tr>
      <w:tr w:rsidR="00FF55F1" w14:paraId="260A0C72" w14:textId="77777777" w:rsidTr="00610486">
        <w:trPr>
          <w:cantSplit/>
          <w:trHeight w:val="2980"/>
        </w:trPr>
        <w:tc>
          <w:tcPr>
            <w:tcW w:w="10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7059B7" w14:textId="77777777" w:rsidR="00FF55F1" w:rsidRPr="00610486" w:rsidRDefault="00FF55F1" w:rsidP="006406E5">
            <w:pPr>
              <w:keepNext/>
              <w:keepLines/>
              <w:rPr>
                <w:sz w:val="20"/>
                <w:szCs w:val="20"/>
                <w:lang w:eastAsia="en-GB"/>
              </w:rPr>
            </w:pPr>
            <w:r w:rsidRPr="00610486">
              <w:rPr>
                <w:sz w:val="20"/>
                <w:szCs w:val="20"/>
                <w:lang w:eastAsia="en-GB"/>
              </w:rPr>
              <w:t>UPTC</w:t>
            </w:r>
          </w:p>
        </w:tc>
        <w:tc>
          <w:tcPr>
            <w:tcW w:w="392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72EBB64" w14:textId="77777777" w:rsidR="00FF55F1" w:rsidRPr="00610486" w:rsidRDefault="00FF55F1" w:rsidP="006406E5">
            <w:pPr>
              <w:keepNext/>
              <w:keepLines/>
              <w:autoSpaceDE w:val="0"/>
              <w:autoSpaceDN w:val="0"/>
              <w:rPr>
                <w:sz w:val="20"/>
                <w:szCs w:val="20"/>
              </w:rPr>
            </w:pPr>
            <w:r w:rsidRPr="00610486">
              <w:rPr>
                <w:sz w:val="20"/>
                <w:szCs w:val="20"/>
              </w:rPr>
              <w:t>Unquantified Potential Technical Correction: Findings for which quantifying a technical correction is not currently possible by the technical expert review team. This is for cases where the expected impact is likely to exceed the determined thresholds of significance, but it is not possible to quantify the technical correction as part of the review. The situations where this may arise include but are not limited to situations:</w:t>
            </w:r>
          </w:p>
          <w:p w14:paraId="76D7B31B" w14:textId="77777777" w:rsidR="00FF55F1" w:rsidRPr="00610486" w:rsidRDefault="00FF55F1" w:rsidP="006406E5">
            <w:pPr>
              <w:keepNext/>
              <w:keepLines/>
              <w:numPr>
                <w:ilvl w:val="0"/>
                <w:numId w:val="14"/>
              </w:numPr>
              <w:autoSpaceDE w:val="0"/>
              <w:autoSpaceDN w:val="0"/>
              <w:spacing w:after="0" w:line="240" w:lineRule="auto"/>
              <w:contextualSpacing/>
              <w:rPr>
                <w:rFonts w:eastAsia="Times New Roman"/>
                <w:sz w:val="20"/>
                <w:szCs w:val="20"/>
              </w:rPr>
            </w:pPr>
            <w:r w:rsidRPr="00610486">
              <w:rPr>
                <w:rFonts w:eastAsia="Times New Roman"/>
                <w:sz w:val="20"/>
                <w:szCs w:val="20"/>
              </w:rPr>
              <w:t xml:space="preserve">Where Tier 1 methods are used to make emission estimates for a key category </w:t>
            </w:r>
          </w:p>
          <w:p w14:paraId="4BFF1376" w14:textId="77777777" w:rsidR="00FF55F1" w:rsidRPr="00610486" w:rsidRDefault="00FF55F1" w:rsidP="006406E5">
            <w:pPr>
              <w:keepNext/>
              <w:keepLines/>
              <w:numPr>
                <w:ilvl w:val="0"/>
                <w:numId w:val="14"/>
              </w:numPr>
              <w:autoSpaceDE w:val="0"/>
              <w:autoSpaceDN w:val="0"/>
              <w:spacing w:after="0" w:line="240" w:lineRule="auto"/>
              <w:contextualSpacing/>
              <w:rPr>
                <w:rFonts w:eastAsia="Times New Roman"/>
                <w:sz w:val="20"/>
                <w:szCs w:val="20"/>
              </w:rPr>
            </w:pPr>
            <w:r w:rsidRPr="00610486">
              <w:rPr>
                <w:rFonts w:eastAsia="Times New Roman"/>
                <w:sz w:val="20"/>
                <w:szCs w:val="20"/>
              </w:rPr>
              <w:t>Issues raised under the review of large point sources</w:t>
            </w:r>
          </w:p>
          <w:p w14:paraId="139A6B10" w14:textId="77777777" w:rsidR="00FF55F1" w:rsidRPr="00610486" w:rsidRDefault="00FF55F1" w:rsidP="006406E5">
            <w:pPr>
              <w:keepNext/>
              <w:keepLines/>
              <w:numPr>
                <w:ilvl w:val="0"/>
                <w:numId w:val="14"/>
              </w:numPr>
              <w:autoSpaceDE w:val="0"/>
              <w:autoSpaceDN w:val="0"/>
              <w:spacing w:after="0" w:line="240" w:lineRule="auto"/>
              <w:contextualSpacing/>
              <w:rPr>
                <w:rFonts w:eastAsia="Times New Roman"/>
                <w:sz w:val="20"/>
                <w:szCs w:val="20"/>
              </w:rPr>
            </w:pPr>
            <w:r w:rsidRPr="00610486">
              <w:rPr>
                <w:rFonts w:eastAsia="Times New Roman"/>
                <w:sz w:val="20"/>
                <w:szCs w:val="20"/>
              </w:rPr>
              <w:t>Issues raised under the review of gridded data</w:t>
            </w:r>
          </w:p>
        </w:tc>
      </w:tr>
      <w:tr w:rsidR="00FF55F1" w14:paraId="46A0175F" w14:textId="77777777" w:rsidTr="00C76A0E">
        <w:trPr>
          <w:trHeight w:val="1157"/>
        </w:trPr>
        <w:tc>
          <w:tcPr>
            <w:tcW w:w="10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C3DC4" w14:textId="77777777" w:rsidR="00FF55F1" w:rsidRPr="00610486" w:rsidRDefault="00FF55F1">
            <w:pPr>
              <w:rPr>
                <w:sz w:val="20"/>
                <w:szCs w:val="20"/>
                <w:lang w:eastAsia="en-GB"/>
              </w:rPr>
            </w:pPr>
            <w:r w:rsidRPr="00610486">
              <w:rPr>
                <w:sz w:val="20"/>
                <w:szCs w:val="20"/>
                <w:lang w:eastAsia="en-GB"/>
              </w:rPr>
              <w:t xml:space="preserve">TC </w:t>
            </w:r>
          </w:p>
          <w:p w14:paraId="212A6591" w14:textId="77777777" w:rsidR="00FF55F1" w:rsidRPr="00610486" w:rsidRDefault="00FF55F1">
            <w:pPr>
              <w:rPr>
                <w:i/>
                <w:iCs/>
                <w:sz w:val="20"/>
                <w:szCs w:val="20"/>
                <w:lang w:eastAsia="en-GB"/>
              </w:rPr>
            </w:pPr>
            <w:r w:rsidRPr="00610486">
              <w:rPr>
                <w:i/>
                <w:iCs/>
                <w:sz w:val="20"/>
                <w:szCs w:val="20"/>
                <w:lang w:eastAsia="en-GB"/>
              </w:rPr>
              <w:t>(only issued in the Final Review Report)</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14:paraId="72872B96" w14:textId="77777777" w:rsidR="00FF55F1" w:rsidRPr="00610486" w:rsidRDefault="00FF55F1">
            <w:pPr>
              <w:rPr>
                <w:sz w:val="20"/>
                <w:szCs w:val="20"/>
                <w:lang w:eastAsia="en-GB"/>
              </w:rPr>
            </w:pPr>
            <w:r w:rsidRPr="00610486">
              <w:rPr>
                <w:sz w:val="20"/>
                <w:szCs w:val="20"/>
                <w:lang w:eastAsia="en-GB"/>
              </w:rPr>
              <w:t xml:space="preserve">Technical corrections: Issued by the technical expert review team for issues identified which relate to an over or under estimate of more than a 2% on the national total in one of the reported years under review and where Member States or the UK did not provide a revised estimate which was accepted by the technical expert review team (TERT). </w:t>
            </w:r>
          </w:p>
        </w:tc>
      </w:tr>
    </w:tbl>
    <w:p w14:paraId="06AD7759" w14:textId="77777777" w:rsidR="00FF55F1" w:rsidRDefault="00FF55F1" w:rsidP="00FF55F1">
      <w:pPr>
        <w:spacing w:after="0" w:line="264" w:lineRule="auto"/>
        <w:rPr>
          <w:rFonts w:ascii="Calibri" w:eastAsia="Times New Roman" w:hAnsi="Calibri" w:cs="Times New Roman"/>
          <w:bCs/>
          <w:lang w:eastAsia="en-GB"/>
        </w:rPr>
        <w:sectPr w:rsidR="00FF55F1" w:rsidSect="00C93813">
          <w:pgSz w:w="11906" w:h="16838"/>
          <w:pgMar w:top="1440" w:right="1440" w:bottom="1440" w:left="1440" w:header="708" w:footer="708" w:gutter="0"/>
          <w:cols w:space="720"/>
          <w:docGrid w:linePitch="360"/>
        </w:sectPr>
      </w:pPr>
    </w:p>
    <w:p w14:paraId="47C85105" w14:textId="77777777" w:rsidR="009E7346" w:rsidRPr="007B60E9" w:rsidRDefault="009E7346" w:rsidP="007B60E9">
      <w:pPr>
        <w:pStyle w:val="Antrat1"/>
      </w:pPr>
      <w:bookmarkStart w:id="10" w:name="_Toc53738306"/>
      <w:r w:rsidRPr="007B60E9">
        <w:t xml:space="preserve">Overall assessment of the quality of the </w:t>
      </w:r>
      <w:r w:rsidR="00201948" w:rsidRPr="007B60E9">
        <w:t>submissions</w:t>
      </w:r>
      <w:bookmarkEnd w:id="10"/>
    </w:p>
    <w:p w14:paraId="6AD915CA" w14:textId="7D6A1912" w:rsidR="006C7456" w:rsidRDefault="006C7456" w:rsidP="00C93D28">
      <w:pPr>
        <w:pStyle w:val="StandardNum"/>
        <w:ind w:left="0"/>
      </w:pPr>
      <w:r>
        <w:t xml:space="preserve">The technical expert review team considers the inventory submission to be of adequate quality in terms of completeness and accuracy. The IIR does not describe the methods transparently enough for a range of categories across </w:t>
      </w:r>
      <w:r w:rsidR="00752435">
        <w:t>E</w:t>
      </w:r>
      <w:r>
        <w:t xml:space="preserve">nergy, IPPU, </w:t>
      </w:r>
      <w:r w:rsidR="00752435">
        <w:t>A</w:t>
      </w:r>
      <w:r>
        <w:t xml:space="preserve">griculture and </w:t>
      </w:r>
      <w:r w:rsidR="00752435">
        <w:t>W</w:t>
      </w:r>
      <w:r>
        <w:t xml:space="preserve">aste as well as for its estimates for uncertainties.  </w:t>
      </w:r>
    </w:p>
    <w:p w14:paraId="2525D295" w14:textId="77777777" w:rsidR="001764D4" w:rsidRDefault="006C7456" w:rsidP="00C93D28">
      <w:pPr>
        <w:pStyle w:val="StandardNum"/>
        <w:ind w:left="0"/>
      </w:pPr>
      <w:r>
        <w:t xml:space="preserve">The LPS data submission was good in terms of completeness and background information was documented transparently.  </w:t>
      </w:r>
    </w:p>
    <w:p w14:paraId="370C5CB2" w14:textId="77777777" w:rsidR="00804B58" w:rsidRDefault="006C7456" w:rsidP="00616284">
      <w:pPr>
        <w:pStyle w:val="StandardNum"/>
        <w:ind w:left="0"/>
      </w:pPr>
      <w:r>
        <w:t xml:space="preserve">The gridded data submission was poor in terms of completeness and background information was not documented transparently. The TERT noted that there is a lack of transparency regarding gridded emissions and a lack of appropriate distributions for GNFR sectors.   </w:t>
      </w:r>
    </w:p>
    <w:p w14:paraId="704CE5D6" w14:textId="77777777" w:rsidR="009E7346" w:rsidRDefault="00D61F94" w:rsidP="00C93D28">
      <w:pPr>
        <w:pStyle w:val="StandardNum"/>
        <w:ind w:left="0"/>
      </w:pPr>
      <w:r w:rsidRPr="00D61F94">
        <w:t xml:space="preserve">To improve the quality of these submissions, the technical expert review team suggests that </w:t>
      </w:r>
      <w:r>
        <w:t>Lithuania</w:t>
      </w:r>
      <w:r w:rsidRPr="00D61F94">
        <w:t xml:space="preserve">:   </w:t>
      </w:r>
    </w:p>
    <w:p w14:paraId="511A4664" w14:textId="6A2E3C17" w:rsidR="001764D4" w:rsidRDefault="00752435" w:rsidP="00E8293A">
      <w:pPr>
        <w:pStyle w:val="bullet"/>
      </w:pPr>
      <w:r>
        <w:t>a</w:t>
      </w:r>
      <w:r w:rsidR="00D61F94">
        <w:t>ddresses a range of technical corrections and unquantified potential technical corrections as well as transparency issues (outlined below)</w:t>
      </w:r>
      <w:r>
        <w:t>;</w:t>
      </w:r>
    </w:p>
    <w:p w14:paraId="780B49B5" w14:textId="378B973B" w:rsidR="002117B2" w:rsidRDefault="00752435">
      <w:pPr>
        <w:pStyle w:val="bullet"/>
      </w:pPr>
      <w:r>
        <w:t>a</w:t>
      </w:r>
      <w:r w:rsidR="00616284">
        <w:t xml:space="preserve">ddresses issues where HMs and POPs may not be reported </w:t>
      </w:r>
      <w:r>
        <w:t>adequately;</w:t>
      </w:r>
    </w:p>
    <w:p w14:paraId="6417ADB9" w14:textId="624A4D39" w:rsidR="002117B2" w:rsidRDefault="00616284">
      <w:pPr>
        <w:pStyle w:val="bullet"/>
      </w:pPr>
      <w:r>
        <w:t>makes improvements to the gridding methods for the 2021 submission with distributions that reflect activities in all relevant GNFR sectors for all pollutants and also provides a chapter in the IIR outlining the methods used to generate all of the gridded estimates</w:t>
      </w:r>
      <w:r w:rsidR="00752435">
        <w:t>.</w:t>
      </w:r>
    </w:p>
    <w:p w14:paraId="7B706D8B" w14:textId="77777777" w:rsidR="009E7346" w:rsidRDefault="009E7346" w:rsidP="009E7346">
      <w:pPr>
        <w:pStyle w:val="StandardNum"/>
        <w:ind w:left="0"/>
        <w:jc w:val="left"/>
      </w:pPr>
      <w:r>
        <w:t>The TERT recommends</w:t>
      </w:r>
      <w:r w:rsidR="00201948">
        <w:t xml:space="preserve"> that</w:t>
      </w:r>
      <w:r w:rsidR="00C76A0E">
        <w:t xml:space="preserve"> Lithuania</w:t>
      </w:r>
      <w:r>
        <w:t xml:space="preserve"> </w:t>
      </w:r>
      <w:r w:rsidR="00201948">
        <w:t xml:space="preserve">reports </w:t>
      </w:r>
      <w:r>
        <w:t>emissions in line with the 2019 EMEP/EEA Guidebook</w:t>
      </w:r>
      <w:r w:rsidR="00101820">
        <w:t xml:space="preserve"> in their next submission</w:t>
      </w:r>
      <w:r>
        <w:t>.</w:t>
      </w:r>
    </w:p>
    <w:p w14:paraId="23275772" w14:textId="77777777" w:rsidR="009E7346" w:rsidRDefault="00C76A0E" w:rsidP="009E7346">
      <w:pPr>
        <w:pStyle w:val="StandardNum"/>
        <w:ind w:left="0"/>
        <w:jc w:val="left"/>
      </w:pPr>
      <w:r>
        <w:t>The technical expert review team considers that it received responses from Lithuania that were sufficient in order to undertake the NECD Review 2020.</w:t>
      </w:r>
    </w:p>
    <w:p w14:paraId="37528442" w14:textId="77777777" w:rsidR="009E7346" w:rsidRDefault="009E7346" w:rsidP="002A7E10">
      <w:pPr>
        <w:pStyle w:val="StandardNum"/>
        <w:numPr>
          <w:ilvl w:val="0"/>
          <w:numId w:val="0"/>
        </w:numPr>
        <w:jc w:val="left"/>
      </w:pPr>
    </w:p>
    <w:p w14:paraId="73A8BBA1" w14:textId="77777777" w:rsidR="00B12037" w:rsidRDefault="00B12037">
      <w:pPr>
        <w:rPr>
          <w:rFonts w:asciiTheme="majorHAnsi" w:eastAsiaTheme="majorEastAsia" w:hAnsiTheme="majorHAnsi" w:cstheme="majorBidi"/>
          <w:color w:val="2E74B5" w:themeColor="accent1" w:themeShade="BF"/>
          <w:sz w:val="32"/>
          <w:szCs w:val="32"/>
        </w:rPr>
      </w:pPr>
      <w:r>
        <w:br w:type="page"/>
      </w:r>
    </w:p>
    <w:p w14:paraId="2B32FFA8" w14:textId="660A6A98" w:rsidR="00A67656" w:rsidRPr="007B60E9" w:rsidRDefault="003F409A" w:rsidP="007B60E9">
      <w:pPr>
        <w:pStyle w:val="Antrat1"/>
      </w:pPr>
      <w:bookmarkStart w:id="11" w:name="_Toc53738307"/>
      <w:r w:rsidRPr="007B60E9">
        <w:t xml:space="preserve">Findings and </w:t>
      </w:r>
      <w:r w:rsidR="006E72F8">
        <w:t>c</w:t>
      </w:r>
      <w:r w:rsidR="00FF755E" w:rsidRPr="007B60E9">
        <w:t xml:space="preserve">onclusions from the </w:t>
      </w:r>
      <w:r w:rsidR="00201948" w:rsidRPr="007B60E9">
        <w:t>t</w:t>
      </w:r>
      <w:r w:rsidR="00FF755E" w:rsidRPr="007B60E9">
        <w:t>echnical</w:t>
      </w:r>
      <w:r w:rsidR="00201948" w:rsidRPr="007B60E9">
        <w:t xml:space="preserve"> e</w:t>
      </w:r>
      <w:r w:rsidR="00FF755E" w:rsidRPr="007B60E9">
        <w:t xml:space="preserve">xpert </w:t>
      </w:r>
      <w:r w:rsidR="00201948" w:rsidRPr="007B60E9">
        <w:t>r</w:t>
      </w:r>
      <w:r w:rsidR="00FF755E" w:rsidRPr="007B60E9">
        <w:t xml:space="preserve">eview </w:t>
      </w:r>
      <w:r w:rsidR="00201948" w:rsidRPr="007B60E9">
        <w:t>t</w:t>
      </w:r>
      <w:r w:rsidR="00470758" w:rsidRPr="007B60E9">
        <w:t>eam</w:t>
      </w:r>
      <w:r w:rsidR="00471239" w:rsidRPr="007B60E9">
        <w:t xml:space="preserve"> for the follow-up review</w:t>
      </w:r>
      <w:r w:rsidR="001247CA" w:rsidRPr="007B60E9">
        <w:t xml:space="preserve"> of</w:t>
      </w:r>
      <w:r w:rsidR="00E62DC6" w:rsidRPr="007B60E9">
        <w:t xml:space="preserve"> </w:t>
      </w:r>
      <w:r w:rsidR="001247CA" w:rsidRPr="007B60E9">
        <w:t xml:space="preserve">national emission inventories </w:t>
      </w:r>
      <w:r w:rsidR="00E62DC6" w:rsidRPr="007B60E9">
        <w:t xml:space="preserve">for </w:t>
      </w:r>
      <w:r w:rsidR="00616284" w:rsidRPr="00616284">
        <w:t>NO</w:t>
      </w:r>
      <w:r w:rsidR="00616284" w:rsidRPr="00616284">
        <w:rPr>
          <w:vertAlign w:val="subscript"/>
        </w:rPr>
        <w:t>X</w:t>
      </w:r>
      <w:r w:rsidR="00E62DC6" w:rsidRPr="007B60E9">
        <w:t xml:space="preserve">, </w:t>
      </w:r>
      <w:r w:rsidR="00243EA9" w:rsidRPr="007B60E9">
        <w:t>NMVOC</w:t>
      </w:r>
      <w:r w:rsidR="00243EA9">
        <w:t>,</w:t>
      </w:r>
      <w:r w:rsidR="00243EA9" w:rsidRPr="007B60E9">
        <w:t xml:space="preserve"> </w:t>
      </w:r>
      <w:r w:rsidR="00616284" w:rsidRPr="00616284">
        <w:t>SO</w:t>
      </w:r>
      <w:r w:rsidR="00616284" w:rsidRPr="00616284">
        <w:rPr>
          <w:vertAlign w:val="subscript"/>
        </w:rPr>
        <w:t>2</w:t>
      </w:r>
      <w:r w:rsidR="00243EA9" w:rsidRPr="007B60E9">
        <w:t xml:space="preserve">, </w:t>
      </w:r>
      <w:r w:rsidR="00616284" w:rsidRPr="00616284">
        <w:t>NH</w:t>
      </w:r>
      <w:r w:rsidR="00616284" w:rsidRPr="00616284">
        <w:rPr>
          <w:vertAlign w:val="subscript"/>
        </w:rPr>
        <w:t>3</w:t>
      </w:r>
      <w:r w:rsidR="00243EA9" w:rsidRPr="00243EA9">
        <w:t xml:space="preserve">, </w:t>
      </w:r>
      <w:r w:rsidR="00243EA9">
        <w:t xml:space="preserve">and </w:t>
      </w:r>
      <w:r w:rsidR="00616284" w:rsidRPr="00616284">
        <w:t>PM</w:t>
      </w:r>
      <w:r w:rsidR="00616284" w:rsidRPr="00616284">
        <w:rPr>
          <w:vertAlign w:val="subscript"/>
        </w:rPr>
        <w:t>2.5</w:t>
      </w:r>
      <w:bookmarkEnd w:id="11"/>
    </w:p>
    <w:p w14:paraId="5E86A6B9" w14:textId="77777777" w:rsidR="00C80239" w:rsidRDefault="00C80239" w:rsidP="009C4989">
      <w:pPr>
        <w:pStyle w:val="StandardNum"/>
        <w:ind w:left="0"/>
      </w:pPr>
      <w:r w:rsidRPr="00E26436">
        <w:t>T</w:t>
      </w:r>
      <w:r>
        <w:t xml:space="preserve">he </w:t>
      </w:r>
      <w:r w:rsidR="00470758">
        <w:t xml:space="preserve">technical expert review team </w:t>
      </w:r>
      <w:r>
        <w:t xml:space="preserve">assessed </w:t>
      </w:r>
      <w:r w:rsidRPr="00C80239">
        <w:t xml:space="preserve">the implementation of all </w:t>
      </w:r>
      <w:r w:rsidR="00201948">
        <w:t>findings</w:t>
      </w:r>
      <w:r w:rsidRPr="00C80239">
        <w:t xml:space="preserve"> from the NECD </w:t>
      </w:r>
      <w:r w:rsidR="00E25196">
        <w:t>R</w:t>
      </w:r>
      <w:r w:rsidRPr="00C80239">
        <w:t>eview 20</w:t>
      </w:r>
      <w:r w:rsidR="00914895">
        <w:t>19</w:t>
      </w:r>
      <w:r>
        <w:t xml:space="preserve">. This assessment was based on the </w:t>
      </w:r>
      <w:r w:rsidR="001D3DE5">
        <w:t xml:space="preserve">emission </w:t>
      </w:r>
      <w:r w:rsidRPr="00A054EA">
        <w:t>inventor</w:t>
      </w:r>
      <w:r w:rsidR="001D3DE5">
        <w:t>y</w:t>
      </w:r>
      <w:r w:rsidRPr="00A054EA">
        <w:t xml:space="preserve"> </w:t>
      </w:r>
      <w:r>
        <w:t>submitted under</w:t>
      </w:r>
      <w:r w:rsidR="00DA707F">
        <w:t xml:space="preserve"> the</w:t>
      </w:r>
      <w:r>
        <w:t xml:space="preserve"> </w:t>
      </w:r>
      <w:r w:rsidR="001D3DE5">
        <w:t>NECD</w:t>
      </w:r>
      <w:r>
        <w:t xml:space="preserve"> </w:t>
      </w:r>
      <w:r w:rsidRPr="00A054EA">
        <w:t>in 20</w:t>
      </w:r>
      <w:r w:rsidR="00914895">
        <w:t>20</w:t>
      </w:r>
      <w:r w:rsidRPr="00A054EA">
        <w:t xml:space="preserve"> by </w:t>
      </w:r>
      <w:r w:rsidR="00610486">
        <w:t>Lithuania</w:t>
      </w:r>
      <w:r w:rsidRPr="00A054EA">
        <w:t xml:space="preserve"> </w:t>
      </w:r>
      <w:r w:rsidRPr="00FA7265">
        <w:t>pursuant to Directive (EU) 2016/2284</w:t>
      </w:r>
      <w:r>
        <w:t xml:space="preserve"> and </w:t>
      </w:r>
      <w:r w:rsidR="001D3DE5">
        <w:t>their</w:t>
      </w:r>
      <w:r>
        <w:t xml:space="preserve"> </w:t>
      </w:r>
      <w:r w:rsidR="00E25196">
        <w:t>r</w:t>
      </w:r>
      <w:r>
        <w:t xml:space="preserve">eview </w:t>
      </w:r>
      <w:r w:rsidR="00E25196">
        <w:t>r</w:t>
      </w:r>
      <w:r>
        <w:t xml:space="preserve">eport from the </w:t>
      </w:r>
      <w:r w:rsidR="001D3DE5" w:rsidRPr="00C80239">
        <w:t xml:space="preserve">NECD </w:t>
      </w:r>
      <w:r w:rsidR="00E25196">
        <w:t>R</w:t>
      </w:r>
      <w:r w:rsidR="001D3DE5" w:rsidRPr="00C80239">
        <w:t>eview 201</w:t>
      </w:r>
      <w:r w:rsidR="00914895">
        <w:t>9</w:t>
      </w:r>
      <w:r>
        <w:t>.</w:t>
      </w:r>
    </w:p>
    <w:p w14:paraId="6EB6E71D" w14:textId="3117FF56" w:rsidR="00F13215" w:rsidRDefault="00F13215" w:rsidP="00F13215">
      <w:pPr>
        <w:pStyle w:val="StandardNum"/>
        <w:ind w:left="0"/>
      </w:pPr>
      <w:r>
        <w:t xml:space="preserve">Resubmissions and other additional information provided by </w:t>
      </w:r>
      <w:r w:rsidR="006E72F8">
        <w:t>Lithuania</w:t>
      </w:r>
      <w:r w:rsidR="00BF314F">
        <w:t xml:space="preserve"> </w:t>
      </w:r>
      <w:r>
        <w:t xml:space="preserve">during the review were taken into account until </w:t>
      </w:r>
      <w:r w:rsidR="00C93813" w:rsidRPr="007F4E77">
        <w:t>1 May</w:t>
      </w:r>
      <w:r w:rsidR="00C93813" w:rsidRPr="005C228E">
        <w:t xml:space="preserve"> 20</w:t>
      </w:r>
      <w:r w:rsidR="00C93813">
        <w:t>20</w:t>
      </w:r>
      <w:r>
        <w:t>.</w:t>
      </w:r>
    </w:p>
    <w:p w14:paraId="785F0FB4" w14:textId="6E54EB65" w:rsidR="00B55C75" w:rsidRPr="00016EA1" w:rsidRDefault="00B55C75" w:rsidP="00B55C75">
      <w:pPr>
        <w:pStyle w:val="StandardNum"/>
        <w:ind w:left="0"/>
        <w:jc w:val="left"/>
      </w:pPr>
      <w:r w:rsidRPr="00016EA1">
        <w:fldChar w:fldCharType="begin"/>
      </w:r>
      <w:r w:rsidRPr="00016EA1">
        <w:instrText xml:space="preserve"> REF _Ref32923842 \h  \* MERGEFORMAT </w:instrText>
      </w:r>
      <w:r w:rsidRPr="00016EA1">
        <w:fldChar w:fldCharType="separate"/>
      </w:r>
      <w:r w:rsidR="00774955" w:rsidRPr="00016EA1">
        <w:t xml:space="preserve">Table </w:t>
      </w:r>
      <w:r w:rsidR="00774955">
        <w:rPr>
          <w:noProof/>
        </w:rPr>
        <w:t>3</w:t>
      </w:r>
      <w:r w:rsidRPr="00016EA1">
        <w:fldChar w:fldCharType="end"/>
      </w:r>
      <w:r w:rsidRPr="00016EA1">
        <w:t xml:space="preserve"> gives an overview of the number of recommendations, revised estimates, technical corrections and </w:t>
      </w:r>
      <w:bookmarkStart w:id="12" w:name="_Hlk48302234"/>
      <w:r>
        <w:t>unquantified</w:t>
      </w:r>
      <w:bookmarkEnd w:id="12"/>
      <w:r>
        <w:t xml:space="preserve"> </w:t>
      </w:r>
      <w:r w:rsidRPr="00016EA1">
        <w:t xml:space="preserve">potential technical corrections for </w:t>
      </w:r>
      <w:r w:rsidRPr="00616284">
        <w:t>NO</w:t>
      </w:r>
      <w:r w:rsidRPr="00616284">
        <w:rPr>
          <w:vertAlign w:val="subscript"/>
        </w:rPr>
        <w:t>X</w:t>
      </w:r>
      <w:r w:rsidRPr="001105C3">
        <w:t xml:space="preserve">, NMVOC, </w:t>
      </w:r>
      <w:r w:rsidRPr="00616284">
        <w:t>SO</w:t>
      </w:r>
      <w:r w:rsidRPr="00616284">
        <w:rPr>
          <w:vertAlign w:val="subscript"/>
        </w:rPr>
        <w:t>2</w:t>
      </w:r>
      <w:r w:rsidRPr="001105C3">
        <w:t xml:space="preserve">, </w:t>
      </w:r>
      <w:r w:rsidRPr="00616284">
        <w:t>NH</w:t>
      </w:r>
      <w:r w:rsidRPr="00616284">
        <w:rPr>
          <w:vertAlign w:val="subscript"/>
        </w:rPr>
        <w:t>3</w:t>
      </w:r>
      <w:r w:rsidRPr="001105C3">
        <w:t xml:space="preserve"> </w:t>
      </w:r>
      <w:r>
        <w:t xml:space="preserve">and </w:t>
      </w:r>
      <w:r w:rsidRPr="00616284">
        <w:t>PM</w:t>
      </w:r>
      <w:r w:rsidRPr="00616284">
        <w:rPr>
          <w:vertAlign w:val="subscript"/>
        </w:rPr>
        <w:t>2.5</w:t>
      </w:r>
      <w:r>
        <w:t xml:space="preserve"> </w:t>
      </w:r>
      <w:r w:rsidRPr="00016EA1">
        <w:t xml:space="preserve">that are included in </w:t>
      </w:r>
      <w:r>
        <w:t>Table 4</w:t>
      </w:r>
      <w:r w:rsidRPr="00016EA1">
        <w:t xml:space="preserve">. </w:t>
      </w:r>
      <w:r>
        <w:t xml:space="preserve">It </w:t>
      </w:r>
      <w:r w:rsidRPr="00016EA1">
        <w:t xml:space="preserve">also indicates in which </w:t>
      </w:r>
      <w:r>
        <w:t>NECD Review</w:t>
      </w:r>
      <w:r w:rsidRPr="00016EA1">
        <w:t xml:space="preserve"> these findings </w:t>
      </w:r>
      <w:r>
        <w:t>were</w:t>
      </w:r>
      <w:r w:rsidRPr="00016EA1">
        <w:t xml:space="preserve"> raised for the first time.</w:t>
      </w:r>
      <w:r>
        <w:t xml:space="preserve"> </w:t>
      </w:r>
      <w:r w:rsidRPr="00016EA1">
        <w:t xml:space="preserve">Further, it shows how many findings </w:t>
      </w:r>
      <w:r>
        <w:t xml:space="preserve">have been implemented </w:t>
      </w:r>
      <w:r w:rsidRPr="00016EA1">
        <w:t>by</w:t>
      </w:r>
      <w:r>
        <w:t xml:space="preserve"> Lithuania</w:t>
      </w:r>
      <w:r w:rsidRPr="00016EA1">
        <w:t xml:space="preserve"> </w:t>
      </w:r>
      <w:r>
        <w:t xml:space="preserve">in </w:t>
      </w:r>
      <w:r w:rsidRPr="00016EA1">
        <w:t xml:space="preserve">their inventory submission 2020. The table also shows the range of recommendations, revised estimates, technical corrections and </w:t>
      </w:r>
      <w:r>
        <w:t>unquantified</w:t>
      </w:r>
      <w:r w:rsidRPr="00016EA1">
        <w:t xml:space="preserve"> potential technical corrections that were included in the NECD </w:t>
      </w:r>
      <w:r>
        <w:t>R</w:t>
      </w:r>
      <w:r w:rsidRPr="00016EA1">
        <w:t>eview reports for other Member States</w:t>
      </w:r>
      <w:r>
        <w:t xml:space="preserve"> and the UK</w:t>
      </w:r>
      <w:r w:rsidRPr="00016EA1">
        <w:t>.</w:t>
      </w:r>
    </w:p>
    <w:p w14:paraId="79CD308D" w14:textId="7AB9E8BB" w:rsidR="0021221A" w:rsidRDefault="00DA707F" w:rsidP="001D3DE5">
      <w:pPr>
        <w:pStyle w:val="StandardNum"/>
        <w:ind w:left="0"/>
        <w:jc w:val="left"/>
      </w:pPr>
      <w:r w:rsidRPr="002A7E10">
        <w:fldChar w:fldCharType="begin"/>
      </w:r>
      <w:r w:rsidRPr="002A7E10">
        <w:instrText xml:space="preserve"> REF _Ref477427078 \h </w:instrText>
      </w:r>
      <w:r w:rsidR="002A7E10">
        <w:instrText xml:space="preserve"> \* MERGEFORMAT </w:instrText>
      </w:r>
      <w:r w:rsidRPr="002A7E10">
        <w:fldChar w:fldCharType="separate"/>
      </w:r>
      <w:r w:rsidR="00774955" w:rsidRPr="00BE0941">
        <w:t xml:space="preserve">Table </w:t>
      </w:r>
      <w:r w:rsidR="00774955">
        <w:t>4</w:t>
      </w:r>
      <w:r w:rsidRPr="002A7E10">
        <w:fldChar w:fldCharType="end"/>
      </w:r>
      <w:r w:rsidRPr="002A7E10">
        <w:t xml:space="preserve"> </w:t>
      </w:r>
      <w:r w:rsidR="001247CA">
        <w:t xml:space="preserve">provides </w:t>
      </w:r>
      <w:r w:rsidR="00834149">
        <w:t xml:space="preserve">all </w:t>
      </w:r>
      <w:r>
        <w:t xml:space="preserve">the </w:t>
      </w:r>
      <w:r w:rsidR="00834149">
        <w:t>recommendations</w:t>
      </w:r>
      <w:r w:rsidR="00B8596C" w:rsidRPr="00B8596C">
        <w:t>, revised estimates, technical corrections and unquantified potential technical corrections</w:t>
      </w:r>
      <w:r w:rsidR="00834149">
        <w:t xml:space="preserve"> from</w:t>
      </w:r>
      <w:r>
        <w:t xml:space="preserve"> the </w:t>
      </w:r>
      <w:r w:rsidR="00652335">
        <w:t>technical expert review team</w:t>
      </w:r>
      <w:r>
        <w:t xml:space="preserve"> </w:t>
      </w:r>
      <w:r w:rsidR="0013649C">
        <w:t xml:space="preserve">related to </w:t>
      </w:r>
      <w:r w:rsidR="00616284" w:rsidRPr="00616284">
        <w:t>NO</w:t>
      </w:r>
      <w:r w:rsidR="00616284" w:rsidRPr="00616284">
        <w:rPr>
          <w:vertAlign w:val="subscript"/>
        </w:rPr>
        <w:t>X</w:t>
      </w:r>
      <w:r w:rsidR="0013649C" w:rsidRPr="001105C3">
        <w:t xml:space="preserve">, NMVOC, </w:t>
      </w:r>
      <w:r w:rsidR="00616284" w:rsidRPr="00616284">
        <w:t>SO</w:t>
      </w:r>
      <w:r w:rsidR="00616284" w:rsidRPr="00616284">
        <w:rPr>
          <w:vertAlign w:val="subscript"/>
        </w:rPr>
        <w:t>2</w:t>
      </w:r>
      <w:r w:rsidR="0013649C" w:rsidRPr="001105C3">
        <w:t xml:space="preserve">, </w:t>
      </w:r>
      <w:r w:rsidR="00616284" w:rsidRPr="00616284">
        <w:t>NH</w:t>
      </w:r>
      <w:r w:rsidR="00616284" w:rsidRPr="00616284">
        <w:rPr>
          <w:vertAlign w:val="subscript"/>
        </w:rPr>
        <w:t>3</w:t>
      </w:r>
      <w:r w:rsidR="0013649C" w:rsidRPr="001105C3">
        <w:t xml:space="preserve"> </w:t>
      </w:r>
      <w:r w:rsidR="0013649C">
        <w:t xml:space="preserve">and </w:t>
      </w:r>
      <w:r w:rsidR="00616284" w:rsidRPr="00616284">
        <w:t>PM</w:t>
      </w:r>
      <w:r w:rsidR="00616284" w:rsidRPr="00616284">
        <w:rPr>
          <w:vertAlign w:val="subscript"/>
        </w:rPr>
        <w:t>2.5</w:t>
      </w:r>
      <w:r w:rsidR="0013649C">
        <w:t xml:space="preserve"> i</w:t>
      </w:r>
      <w:r w:rsidR="00834149">
        <w:t>ncluding those additionally made during the NECD Review 2020 and those not implemented from the NECD Review 2019.</w:t>
      </w:r>
    </w:p>
    <w:p w14:paraId="779D4133" w14:textId="77777777" w:rsidR="00016EA1" w:rsidRPr="00016EA1" w:rsidRDefault="00016EA1" w:rsidP="00016EA1">
      <w:pPr>
        <w:pStyle w:val="StandardNum"/>
        <w:numPr>
          <w:ilvl w:val="0"/>
          <w:numId w:val="0"/>
        </w:numPr>
        <w:jc w:val="left"/>
      </w:pPr>
    </w:p>
    <w:p w14:paraId="66DB4C25" w14:textId="5CCE3019" w:rsidR="0021221A" w:rsidRDefault="0021221A" w:rsidP="000A70A6">
      <w:pPr>
        <w:pStyle w:val="Antrat"/>
        <w:rPr>
          <w:vertAlign w:val="subscript"/>
        </w:rPr>
      </w:pPr>
      <w:bookmarkStart w:id="13" w:name="_Ref32923842"/>
      <w:bookmarkStart w:id="14" w:name="_Toc53738317"/>
      <w:r w:rsidRPr="00016EA1">
        <w:t xml:space="preserve">Table </w:t>
      </w:r>
      <w:r>
        <w:fldChar w:fldCharType="begin"/>
      </w:r>
      <w:r>
        <w:instrText>SEQ Table \* ARABIC</w:instrText>
      </w:r>
      <w:r>
        <w:fldChar w:fldCharType="separate"/>
      </w:r>
      <w:r w:rsidR="00774955">
        <w:rPr>
          <w:noProof/>
        </w:rPr>
        <w:t>3</w:t>
      </w:r>
      <w:r>
        <w:fldChar w:fldCharType="end"/>
      </w:r>
      <w:bookmarkEnd w:id="13"/>
      <w:r w:rsidR="002B2B14">
        <w:rPr>
          <w:noProof/>
        </w:rPr>
        <w:t>:</w:t>
      </w:r>
      <w:r w:rsidRPr="00016EA1">
        <w:t xml:space="preserve"> Overview of </w:t>
      </w:r>
      <w:r w:rsidR="009B30E2">
        <w:t xml:space="preserve">the </w:t>
      </w:r>
      <w:r w:rsidRPr="00016EA1">
        <w:t xml:space="preserve">number </w:t>
      </w:r>
      <w:r w:rsidRPr="000A70A6">
        <w:t xml:space="preserve">of findings from </w:t>
      </w:r>
      <w:r w:rsidR="009B30E2" w:rsidRPr="000A70A6">
        <w:t xml:space="preserve">the </w:t>
      </w:r>
      <w:r w:rsidRPr="000A70A6">
        <w:t xml:space="preserve">NECD </w:t>
      </w:r>
      <w:r w:rsidR="009B30E2" w:rsidRPr="000A70A6">
        <w:t>R</w:t>
      </w:r>
      <w:r w:rsidRPr="000A70A6">
        <w:t>eview 2020 and previous NECD reviews</w:t>
      </w:r>
      <w:r w:rsidR="009B30E2" w:rsidRPr="000A70A6">
        <w:t xml:space="preserve"> related to </w:t>
      </w:r>
      <w:r w:rsidR="00616284" w:rsidRPr="00616284">
        <w:t>NO</w:t>
      </w:r>
      <w:r w:rsidR="00616284" w:rsidRPr="00616284">
        <w:rPr>
          <w:vertAlign w:val="subscript"/>
        </w:rPr>
        <w:t>X</w:t>
      </w:r>
      <w:r w:rsidR="000A70A6" w:rsidRPr="000A70A6">
        <w:t xml:space="preserve">, NMVOC, </w:t>
      </w:r>
      <w:r w:rsidR="00616284" w:rsidRPr="00616284">
        <w:t>SO</w:t>
      </w:r>
      <w:r w:rsidR="00616284" w:rsidRPr="00616284">
        <w:rPr>
          <w:vertAlign w:val="subscript"/>
        </w:rPr>
        <w:t>2</w:t>
      </w:r>
      <w:r w:rsidR="000A70A6" w:rsidRPr="000A70A6">
        <w:t xml:space="preserve">, </w:t>
      </w:r>
      <w:r w:rsidR="00616284" w:rsidRPr="00616284">
        <w:t>NH</w:t>
      </w:r>
      <w:r w:rsidR="00616284" w:rsidRPr="00616284">
        <w:rPr>
          <w:vertAlign w:val="subscript"/>
        </w:rPr>
        <w:t>3</w:t>
      </w:r>
      <w:r w:rsidR="000A70A6" w:rsidRPr="000A70A6">
        <w:t xml:space="preserve">, </w:t>
      </w:r>
      <w:r w:rsidR="00616284" w:rsidRPr="00616284">
        <w:t>PM</w:t>
      </w:r>
      <w:r w:rsidR="00616284" w:rsidRPr="00616284">
        <w:rPr>
          <w:vertAlign w:val="subscript"/>
        </w:rPr>
        <w:t>2.5</w:t>
      </w:r>
      <w:bookmarkEnd w:id="14"/>
    </w:p>
    <w:tbl>
      <w:tblPr>
        <w:tblW w:w="9360" w:type="dxa"/>
        <w:jc w:val="center"/>
        <w:tblLayout w:type="fixed"/>
        <w:tblLook w:val="0420" w:firstRow="1" w:lastRow="0" w:firstColumn="0" w:lastColumn="0" w:noHBand="0" w:noVBand="1"/>
      </w:tblPr>
      <w:tblGrid>
        <w:gridCol w:w="1410"/>
        <w:gridCol w:w="2260"/>
        <w:gridCol w:w="1138"/>
        <w:gridCol w:w="1138"/>
        <w:gridCol w:w="1138"/>
        <w:gridCol w:w="1138"/>
        <w:gridCol w:w="1138"/>
      </w:tblGrid>
      <w:tr w:rsidR="002117B2" w14:paraId="0D94C611" w14:textId="77777777">
        <w:trPr>
          <w:cantSplit/>
          <w:tblHeader/>
          <w:jc w:val="center"/>
        </w:trPr>
        <w:tc>
          <w:tcPr>
            <w:tcW w:w="3672" w:type="dxa"/>
            <w:gridSpan w:val="2"/>
            <w:vMerge w:val="restart"/>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060502C8" w14:textId="77777777" w:rsidR="002117B2" w:rsidRDefault="002117B2">
            <w:pPr>
              <w:spacing w:after="0"/>
              <w:jc w:val="center"/>
            </w:pPr>
          </w:p>
        </w:tc>
        <w:tc>
          <w:tcPr>
            <w:tcW w:w="4552" w:type="dxa"/>
            <w:gridSpan w:val="4"/>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0948763F" w14:textId="72B1F514" w:rsidR="002117B2" w:rsidRDefault="00616284">
            <w:pPr>
              <w:spacing w:after="0"/>
              <w:jc w:val="center"/>
            </w:pPr>
            <w:r>
              <w:rPr>
                <w:rFonts w:ascii="Calibri" w:eastAsia="Calibri" w:hAnsi="Calibri" w:cs="Calibri"/>
                <w:color w:val="000000"/>
                <w:sz w:val="20"/>
                <w:szCs w:val="20"/>
              </w:rPr>
              <w:t>Findings included in the 2020 Review Report by year o</w:t>
            </w:r>
            <w:r w:rsidR="004D4E20">
              <w:rPr>
                <w:rFonts w:ascii="Calibri" w:eastAsia="Calibri" w:hAnsi="Calibri" w:cs="Calibri"/>
                <w:color w:val="000000"/>
                <w:sz w:val="20"/>
                <w:szCs w:val="20"/>
              </w:rPr>
              <w:t>f</w:t>
            </w:r>
            <w:r>
              <w:rPr>
                <w:rFonts w:ascii="Calibri" w:eastAsia="Calibri" w:hAnsi="Calibri" w:cs="Calibri"/>
                <w:color w:val="000000"/>
                <w:sz w:val="20"/>
                <w:szCs w:val="20"/>
              </w:rPr>
              <w:t xml:space="preserve"> origin (see Table 4 below)</w:t>
            </w: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3BECFC38" w14:textId="77777777" w:rsidR="002117B2" w:rsidRDefault="00616284">
            <w:pPr>
              <w:spacing w:after="0"/>
              <w:jc w:val="center"/>
            </w:pPr>
            <w:r>
              <w:rPr>
                <w:rFonts w:ascii="Calibri" w:eastAsia="Calibri" w:hAnsi="Calibri" w:cs="Calibri"/>
                <w:color w:val="000000"/>
                <w:sz w:val="20"/>
                <w:szCs w:val="20"/>
              </w:rPr>
              <w:t>Implemented findings</w:t>
            </w:r>
          </w:p>
        </w:tc>
      </w:tr>
      <w:tr w:rsidR="002117B2" w14:paraId="5140B775" w14:textId="77777777">
        <w:trPr>
          <w:cantSplit/>
          <w:tblHeader/>
          <w:jc w:val="center"/>
        </w:trPr>
        <w:tc>
          <w:tcPr>
            <w:tcW w:w="3672" w:type="dxa"/>
            <w:gridSpan w:val="2"/>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1F7F25DC" w14:textId="77777777" w:rsidR="002117B2" w:rsidRDefault="002117B2">
            <w:pPr>
              <w:spacing w:after="0"/>
              <w:jc w:val="center"/>
            </w:pPr>
          </w:p>
        </w:tc>
        <w:tc>
          <w:tcPr>
            <w:tcW w:w="1138"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6BDC3ECA" w14:textId="77777777" w:rsidR="002117B2" w:rsidRDefault="00616284">
            <w:pPr>
              <w:spacing w:after="0"/>
              <w:jc w:val="center"/>
            </w:pPr>
            <w:r>
              <w:rPr>
                <w:rFonts w:ascii="Calibri" w:eastAsia="Calibri" w:hAnsi="Calibri" w:cs="Calibri"/>
                <w:color w:val="000000"/>
                <w:sz w:val="20"/>
                <w:szCs w:val="20"/>
              </w:rPr>
              <w:t>TC*</w:t>
            </w:r>
          </w:p>
        </w:tc>
        <w:tc>
          <w:tcPr>
            <w:tcW w:w="1138"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7B61AB5D" w14:textId="77777777" w:rsidR="002117B2" w:rsidRDefault="00616284">
            <w:pPr>
              <w:spacing w:after="0"/>
              <w:jc w:val="center"/>
            </w:pPr>
            <w:r>
              <w:rPr>
                <w:rFonts w:ascii="Calibri" w:eastAsia="Calibri" w:hAnsi="Calibri" w:cs="Calibri"/>
                <w:color w:val="000000"/>
                <w:sz w:val="20"/>
                <w:szCs w:val="20"/>
              </w:rPr>
              <w:t>RE*</w:t>
            </w:r>
          </w:p>
        </w:tc>
        <w:tc>
          <w:tcPr>
            <w:tcW w:w="1138"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6CF802D9" w14:textId="77777777" w:rsidR="002117B2" w:rsidRDefault="00616284">
            <w:pPr>
              <w:spacing w:after="0"/>
              <w:jc w:val="center"/>
            </w:pPr>
            <w:r>
              <w:rPr>
                <w:rFonts w:ascii="Calibri" w:eastAsia="Calibri" w:hAnsi="Calibri" w:cs="Calibri"/>
                <w:color w:val="000000"/>
                <w:sz w:val="20"/>
                <w:szCs w:val="20"/>
              </w:rPr>
              <w:t>UPTC*</w:t>
            </w:r>
          </w:p>
        </w:tc>
        <w:tc>
          <w:tcPr>
            <w:tcW w:w="1138"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0192269D" w14:textId="77777777" w:rsidR="002117B2" w:rsidRDefault="00616284">
            <w:pPr>
              <w:spacing w:after="0"/>
              <w:jc w:val="center"/>
            </w:pPr>
            <w:r>
              <w:rPr>
                <w:rFonts w:ascii="Calibri" w:eastAsia="Calibri" w:hAnsi="Calibri" w:cs="Calibri"/>
                <w:color w:val="000000"/>
                <w:sz w:val="20"/>
                <w:szCs w:val="20"/>
              </w:rPr>
              <w:t>Recom.*</w:t>
            </w:r>
          </w:p>
        </w:tc>
        <w:tc>
          <w:tcPr>
            <w:tcW w:w="1138" w:type="dxa"/>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5EDFF82D" w14:textId="77777777" w:rsidR="002117B2" w:rsidRDefault="002117B2">
            <w:pPr>
              <w:spacing w:after="0"/>
              <w:jc w:val="center"/>
            </w:pPr>
          </w:p>
        </w:tc>
      </w:tr>
      <w:tr w:rsidR="002117B2" w14:paraId="44A65E1B" w14:textId="77777777">
        <w:trPr>
          <w:cantSplit/>
          <w:jc w:val="center"/>
        </w:trPr>
        <w:tc>
          <w:tcPr>
            <w:tcW w:w="1411" w:type="dxa"/>
            <w:vMerge w:val="restart"/>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3ACAD208" w14:textId="77777777" w:rsidR="002117B2" w:rsidRDefault="00616284">
            <w:pPr>
              <w:spacing w:before="40" w:after="40"/>
              <w:ind w:left="100" w:right="100"/>
              <w:jc w:val="center"/>
            </w:pPr>
            <w:r>
              <w:rPr>
                <w:rFonts w:ascii="Calibri" w:eastAsia="Calibri" w:hAnsi="Calibri" w:cs="Calibri"/>
                <w:color w:val="111111"/>
                <w:sz w:val="20"/>
                <w:szCs w:val="20"/>
              </w:rPr>
              <w:t>Finding first raised in:</w:t>
            </w:r>
          </w:p>
        </w:tc>
        <w:tc>
          <w:tcPr>
            <w:tcW w:w="2261"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11E83E2C" w14:textId="77777777" w:rsidR="002117B2" w:rsidRDefault="00616284">
            <w:pPr>
              <w:spacing w:before="40" w:after="40"/>
              <w:ind w:left="100" w:right="100"/>
              <w:jc w:val="center"/>
            </w:pPr>
            <w:r>
              <w:rPr>
                <w:rFonts w:ascii="Calibri" w:eastAsia="Calibri" w:hAnsi="Calibri" w:cs="Calibri"/>
                <w:color w:val="111111"/>
                <w:sz w:val="20"/>
                <w:szCs w:val="20"/>
              </w:rPr>
              <w:t>NECD Review 2017</w:t>
            </w:r>
          </w:p>
        </w:tc>
        <w:tc>
          <w:tcPr>
            <w:tcW w:w="1138" w:type="dxa"/>
            <w:tcBorders>
              <w:top w:val="single" w:sz="8" w:space="0" w:color="000000"/>
              <w:left w:val="single" w:sz="8" w:space="0" w:color="000000"/>
              <w:bottom w:val="single" w:sz="8" w:space="0" w:color="000000"/>
              <w:right w:val="single" w:sz="8" w:space="0" w:color="000000"/>
            </w:tcBorders>
            <w:shd w:val="clear" w:color="auto" w:fill="F4B084"/>
            <w:tcMar>
              <w:top w:w="0" w:type="dxa"/>
              <w:left w:w="0" w:type="dxa"/>
              <w:bottom w:w="0" w:type="dxa"/>
              <w:right w:w="0" w:type="dxa"/>
            </w:tcMar>
            <w:vAlign w:val="center"/>
          </w:tcPr>
          <w:p w14:paraId="15A5D97B"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4B084"/>
            <w:tcMar>
              <w:top w:w="0" w:type="dxa"/>
              <w:left w:w="0" w:type="dxa"/>
              <w:bottom w:w="0" w:type="dxa"/>
              <w:right w:w="0" w:type="dxa"/>
            </w:tcMar>
            <w:vAlign w:val="center"/>
          </w:tcPr>
          <w:p w14:paraId="1694FFB4" w14:textId="77777777" w:rsidR="002117B2" w:rsidRDefault="00616284">
            <w:pPr>
              <w:spacing w:before="40" w:after="40"/>
              <w:ind w:left="100" w:right="100"/>
              <w:jc w:val="center"/>
            </w:pPr>
            <w:r>
              <w:rPr>
                <w:rFonts w:ascii="Calibri" w:eastAsia="Calibri" w:hAnsi="Calibri" w:cs="Calibri"/>
                <w:color w:val="111111"/>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4B084"/>
            <w:tcMar>
              <w:top w:w="0" w:type="dxa"/>
              <w:left w:w="0" w:type="dxa"/>
              <w:bottom w:w="0" w:type="dxa"/>
              <w:right w:w="0" w:type="dxa"/>
            </w:tcMar>
            <w:vAlign w:val="center"/>
          </w:tcPr>
          <w:p w14:paraId="6D2262D2" w14:textId="77777777" w:rsidR="002117B2" w:rsidRDefault="00616284">
            <w:pPr>
              <w:spacing w:before="40" w:after="40"/>
              <w:ind w:left="100" w:right="100"/>
              <w:jc w:val="center"/>
            </w:pPr>
            <w:r>
              <w:rPr>
                <w:rFonts w:ascii="Calibri" w:eastAsia="Calibri" w:hAnsi="Calibri" w:cs="Calibri"/>
                <w:color w:val="111111"/>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4B084"/>
            <w:tcMar>
              <w:top w:w="0" w:type="dxa"/>
              <w:left w:w="0" w:type="dxa"/>
              <w:bottom w:w="0" w:type="dxa"/>
              <w:right w:w="0" w:type="dxa"/>
            </w:tcMar>
            <w:vAlign w:val="center"/>
          </w:tcPr>
          <w:p w14:paraId="5B360899" w14:textId="77777777" w:rsidR="002117B2" w:rsidRDefault="00616284">
            <w:pPr>
              <w:spacing w:before="40" w:after="40"/>
              <w:ind w:left="100" w:right="100"/>
              <w:jc w:val="center"/>
            </w:pPr>
            <w:r>
              <w:rPr>
                <w:rFonts w:ascii="Calibri" w:eastAsia="Calibri" w:hAnsi="Calibri" w:cs="Calibri"/>
                <w:color w:val="111111"/>
                <w:sz w:val="20"/>
                <w:szCs w:val="20"/>
              </w:rPr>
              <w:t>13</w:t>
            </w:r>
          </w:p>
        </w:tc>
        <w:tc>
          <w:tcPr>
            <w:tcW w:w="1138" w:type="dxa"/>
            <w:tcBorders>
              <w:top w:val="single" w:sz="8" w:space="0" w:color="000000"/>
              <w:left w:val="single" w:sz="8" w:space="0" w:color="000000"/>
              <w:bottom w:val="single" w:sz="8" w:space="0" w:color="000000"/>
              <w:right w:val="single" w:sz="8" w:space="0" w:color="000000"/>
            </w:tcBorders>
            <w:shd w:val="clear" w:color="auto" w:fill="E2EFDA"/>
            <w:tcMar>
              <w:top w:w="0" w:type="dxa"/>
              <w:left w:w="0" w:type="dxa"/>
              <w:bottom w:w="0" w:type="dxa"/>
              <w:right w:w="0" w:type="dxa"/>
            </w:tcMar>
            <w:vAlign w:val="center"/>
          </w:tcPr>
          <w:p w14:paraId="42F4CE97" w14:textId="77777777" w:rsidR="002117B2" w:rsidRDefault="00616284">
            <w:pPr>
              <w:spacing w:before="40" w:after="40"/>
              <w:ind w:left="100" w:right="100"/>
              <w:jc w:val="center"/>
            </w:pPr>
            <w:r>
              <w:rPr>
                <w:rFonts w:ascii="Calibri" w:eastAsia="Calibri" w:hAnsi="Calibri" w:cs="Calibri"/>
                <w:color w:val="111111"/>
                <w:sz w:val="20"/>
                <w:szCs w:val="20"/>
              </w:rPr>
              <w:t>10</w:t>
            </w:r>
          </w:p>
        </w:tc>
      </w:tr>
      <w:tr w:rsidR="002117B2" w14:paraId="1390622F" w14:textId="77777777">
        <w:trPr>
          <w:cantSplit/>
          <w:jc w:val="center"/>
        </w:trPr>
        <w:tc>
          <w:tcPr>
            <w:tcW w:w="1411" w:type="dxa"/>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3D751730" w14:textId="77777777" w:rsidR="002117B2" w:rsidRDefault="002117B2">
            <w:pPr>
              <w:spacing w:before="40" w:after="40"/>
              <w:ind w:left="100" w:right="100"/>
              <w:jc w:val="center"/>
            </w:pPr>
          </w:p>
        </w:tc>
        <w:tc>
          <w:tcPr>
            <w:tcW w:w="2261"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50075D0F" w14:textId="77777777" w:rsidR="002117B2" w:rsidRDefault="00616284">
            <w:pPr>
              <w:spacing w:before="40" w:after="40"/>
              <w:ind w:left="100" w:right="100"/>
              <w:jc w:val="center"/>
            </w:pPr>
            <w:r>
              <w:rPr>
                <w:rFonts w:ascii="Calibri" w:eastAsia="Calibri" w:hAnsi="Calibri" w:cs="Calibri"/>
                <w:color w:val="111111"/>
                <w:sz w:val="20"/>
                <w:szCs w:val="20"/>
              </w:rPr>
              <w:t>NECD Review 2018</w:t>
            </w:r>
          </w:p>
        </w:tc>
        <w:tc>
          <w:tcPr>
            <w:tcW w:w="1138" w:type="dxa"/>
            <w:tcBorders>
              <w:top w:val="single" w:sz="8" w:space="0" w:color="000000"/>
              <w:left w:val="single" w:sz="8" w:space="0" w:color="000000"/>
              <w:bottom w:val="single" w:sz="8" w:space="0" w:color="000000"/>
              <w:right w:val="single" w:sz="8" w:space="0" w:color="000000"/>
            </w:tcBorders>
            <w:shd w:val="clear" w:color="auto" w:fill="F4CBAD"/>
            <w:tcMar>
              <w:top w:w="0" w:type="dxa"/>
              <w:left w:w="0" w:type="dxa"/>
              <w:bottom w:w="0" w:type="dxa"/>
              <w:right w:w="0" w:type="dxa"/>
            </w:tcMar>
            <w:vAlign w:val="center"/>
          </w:tcPr>
          <w:p w14:paraId="4589F35F"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4CBAD"/>
            <w:tcMar>
              <w:top w:w="0" w:type="dxa"/>
              <w:left w:w="0" w:type="dxa"/>
              <w:bottom w:w="0" w:type="dxa"/>
              <w:right w:w="0" w:type="dxa"/>
            </w:tcMar>
            <w:vAlign w:val="center"/>
          </w:tcPr>
          <w:p w14:paraId="584A6511"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4CBAD"/>
            <w:tcMar>
              <w:top w:w="0" w:type="dxa"/>
              <w:left w:w="0" w:type="dxa"/>
              <w:bottom w:w="0" w:type="dxa"/>
              <w:right w:w="0" w:type="dxa"/>
            </w:tcMar>
            <w:vAlign w:val="center"/>
          </w:tcPr>
          <w:p w14:paraId="39142A0C" w14:textId="77777777" w:rsidR="002117B2" w:rsidRDefault="00616284">
            <w:pPr>
              <w:spacing w:before="40" w:after="40"/>
              <w:ind w:left="100" w:right="100"/>
              <w:jc w:val="center"/>
            </w:pPr>
            <w:r>
              <w:rPr>
                <w:rFonts w:ascii="Calibri" w:eastAsia="Calibri" w:hAnsi="Calibri" w:cs="Calibri"/>
                <w:color w:val="111111"/>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4CBAD"/>
            <w:tcMar>
              <w:top w:w="0" w:type="dxa"/>
              <w:left w:w="0" w:type="dxa"/>
              <w:bottom w:w="0" w:type="dxa"/>
              <w:right w:w="0" w:type="dxa"/>
            </w:tcMar>
            <w:vAlign w:val="center"/>
          </w:tcPr>
          <w:p w14:paraId="559DE546" w14:textId="77777777" w:rsidR="002117B2" w:rsidRDefault="00616284">
            <w:pPr>
              <w:spacing w:before="40" w:after="40"/>
              <w:ind w:left="100" w:right="100"/>
              <w:jc w:val="center"/>
            </w:pPr>
            <w:r>
              <w:rPr>
                <w:rFonts w:ascii="Calibri" w:eastAsia="Calibri" w:hAnsi="Calibri" w:cs="Calibri"/>
                <w:color w:val="111111"/>
                <w:sz w:val="20"/>
                <w:szCs w:val="20"/>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E2EFDA"/>
            <w:tcMar>
              <w:top w:w="0" w:type="dxa"/>
              <w:left w:w="0" w:type="dxa"/>
              <w:bottom w:w="0" w:type="dxa"/>
              <w:right w:w="0" w:type="dxa"/>
            </w:tcMar>
            <w:vAlign w:val="center"/>
          </w:tcPr>
          <w:p w14:paraId="2571A33F" w14:textId="77777777" w:rsidR="002117B2" w:rsidRDefault="00616284">
            <w:pPr>
              <w:spacing w:before="40" w:after="40"/>
              <w:ind w:left="100" w:right="100"/>
              <w:jc w:val="center"/>
            </w:pPr>
            <w:r>
              <w:rPr>
                <w:rFonts w:ascii="Calibri" w:eastAsia="Calibri" w:hAnsi="Calibri" w:cs="Calibri"/>
                <w:color w:val="111111"/>
                <w:sz w:val="20"/>
                <w:szCs w:val="20"/>
              </w:rPr>
              <w:t>2</w:t>
            </w:r>
          </w:p>
        </w:tc>
      </w:tr>
      <w:tr w:rsidR="002117B2" w14:paraId="3EE918C1" w14:textId="77777777">
        <w:trPr>
          <w:cantSplit/>
          <w:jc w:val="center"/>
        </w:trPr>
        <w:tc>
          <w:tcPr>
            <w:tcW w:w="1411" w:type="dxa"/>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251364B1" w14:textId="77777777" w:rsidR="002117B2" w:rsidRDefault="002117B2">
            <w:pPr>
              <w:spacing w:before="40" w:after="40"/>
              <w:ind w:left="100" w:right="100"/>
              <w:jc w:val="center"/>
            </w:pPr>
          </w:p>
        </w:tc>
        <w:tc>
          <w:tcPr>
            <w:tcW w:w="2261"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740A95F1" w14:textId="77777777" w:rsidR="002117B2" w:rsidRDefault="00616284">
            <w:pPr>
              <w:spacing w:before="40" w:after="40"/>
              <w:ind w:left="100" w:right="100"/>
              <w:jc w:val="center"/>
            </w:pPr>
            <w:r>
              <w:rPr>
                <w:rFonts w:ascii="Calibri" w:eastAsia="Calibri" w:hAnsi="Calibri" w:cs="Calibri"/>
                <w:color w:val="111111"/>
                <w:sz w:val="20"/>
                <w:szCs w:val="20"/>
              </w:rPr>
              <w:t>NECD Review 2019</w:t>
            </w:r>
          </w:p>
        </w:tc>
        <w:tc>
          <w:tcPr>
            <w:tcW w:w="1138" w:type="dxa"/>
            <w:tcBorders>
              <w:top w:val="single" w:sz="8" w:space="0" w:color="000000"/>
              <w:left w:val="single" w:sz="8" w:space="0" w:color="000000"/>
              <w:bottom w:val="single" w:sz="8" w:space="0" w:color="000000"/>
              <w:right w:val="single" w:sz="8" w:space="0" w:color="000000"/>
            </w:tcBorders>
            <w:shd w:val="clear" w:color="auto" w:fill="FCE4D6"/>
            <w:tcMar>
              <w:top w:w="0" w:type="dxa"/>
              <w:left w:w="0" w:type="dxa"/>
              <w:bottom w:w="0" w:type="dxa"/>
              <w:right w:w="0" w:type="dxa"/>
            </w:tcMar>
            <w:vAlign w:val="center"/>
          </w:tcPr>
          <w:p w14:paraId="55272EDE" w14:textId="77777777" w:rsidR="002117B2" w:rsidRDefault="00616284">
            <w:pPr>
              <w:spacing w:before="40" w:after="40"/>
              <w:ind w:left="100" w:right="100"/>
              <w:jc w:val="center"/>
            </w:pPr>
            <w:r>
              <w:rPr>
                <w:rFonts w:ascii="Calibri" w:eastAsia="Calibri" w:hAnsi="Calibri" w:cs="Calibri"/>
                <w:color w:val="111111"/>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CE4D6"/>
            <w:tcMar>
              <w:top w:w="0" w:type="dxa"/>
              <w:left w:w="0" w:type="dxa"/>
              <w:bottom w:w="0" w:type="dxa"/>
              <w:right w:w="0" w:type="dxa"/>
            </w:tcMar>
            <w:vAlign w:val="center"/>
          </w:tcPr>
          <w:p w14:paraId="5B3DDF47"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CE4D6"/>
            <w:tcMar>
              <w:top w:w="0" w:type="dxa"/>
              <w:left w:w="0" w:type="dxa"/>
              <w:bottom w:w="0" w:type="dxa"/>
              <w:right w:w="0" w:type="dxa"/>
            </w:tcMar>
            <w:vAlign w:val="center"/>
          </w:tcPr>
          <w:p w14:paraId="6FAB7E75" w14:textId="77777777" w:rsidR="002117B2" w:rsidRDefault="00616284">
            <w:pPr>
              <w:spacing w:before="40" w:after="40"/>
              <w:ind w:left="100" w:right="100"/>
              <w:jc w:val="center"/>
            </w:pPr>
            <w:r>
              <w:rPr>
                <w:rFonts w:ascii="Calibri" w:eastAsia="Calibri" w:hAnsi="Calibri" w:cs="Calibri"/>
                <w:color w:val="111111"/>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CE4D6"/>
            <w:tcMar>
              <w:top w:w="0" w:type="dxa"/>
              <w:left w:w="0" w:type="dxa"/>
              <w:bottom w:w="0" w:type="dxa"/>
              <w:right w:w="0" w:type="dxa"/>
            </w:tcMar>
            <w:vAlign w:val="center"/>
          </w:tcPr>
          <w:p w14:paraId="211F3C47" w14:textId="77777777" w:rsidR="002117B2" w:rsidRDefault="00616284">
            <w:pPr>
              <w:spacing w:before="40" w:after="40"/>
              <w:ind w:left="100" w:right="100"/>
              <w:jc w:val="center"/>
            </w:pPr>
            <w:r>
              <w:rPr>
                <w:rFonts w:ascii="Calibri" w:eastAsia="Calibri" w:hAnsi="Calibri" w:cs="Calibri"/>
                <w:color w:val="111111"/>
                <w:sz w:val="20"/>
                <w:szCs w:val="20"/>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E2EFDA"/>
            <w:tcMar>
              <w:top w:w="0" w:type="dxa"/>
              <w:left w:w="0" w:type="dxa"/>
              <w:bottom w:w="0" w:type="dxa"/>
              <w:right w:w="0" w:type="dxa"/>
            </w:tcMar>
            <w:vAlign w:val="center"/>
          </w:tcPr>
          <w:p w14:paraId="46582751" w14:textId="77777777" w:rsidR="002117B2" w:rsidRDefault="00616284">
            <w:pPr>
              <w:spacing w:before="40" w:after="40"/>
              <w:ind w:left="100" w:right="100"/>
              <w:jc w:val="center"/>
            </w:pPr>
            <w:r>
              <w:rPr>
                <w:rFonts w:ascii="Calibri" w:eastAsia="Calibri" w:hAnsi="Calibri" w:cs="Calibri"/>
                <w:color w:val="111111"/>
                <w:sz w:val="20"/>
                <w:szCs w:val="20"/>
              </w:rPr>
              <w:t>10</w:t>
            </w:r>
          </w:p>
        </w:tc>
      </w:tr>
      <w:tr w:rsidR="002117B2" w14:paraId="2F75F0CD" w14:textId="77777777">
        <w:trPr>
          <w:cantSplit/>
          <w:jc w:val="center"/>
        </w:trPr>
        <w:tc>
          <w:tcPr>
            <w:tcW w:w="1411" w:type="dxa"/>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0F678526" w14:textId="77777777" w:rsidR="002117B2" w:rsidRDefault="002117B2">
            <w:pPr>
              <w:spacing w:before="40" w:after="40"/>
              <w:ind w:left="100" w:right="100"/>
              <w:jc w:val="center"/>
            </w:pPr>
          </w:p>
        </w:tc>
        <w:tc>
          <w:tcPr>
            <w:tcW w:w="2261"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116BBEE6" w14:textId="77777777" w:rsidR="002117B2" w:rsidRDefault="00616284">
            <w:pPr>
              <w:spacing w:before="40" w:after="40"/>
              <w:ind w:left="100" w:right="100"/>
              <w:jc w:val="center"/>
            </w:pPr>
            <w:r>
              <w:rPr>
                <w:rFonts w:ascii="Calibri" w:eastAsia="Calibri" w:hAnsi="Calibri" w:cs="Calibri"/>
                <w:color w:val="111111"/>
                <w:sz w:val="20"/>
                <w:szCs w:val="20"/>
              </w:rPr>
              <w:t>NECD Review 2020</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874AF4" w14:textId="77777777" w:rsidR="002117B2" w:rsidRDefault="00616284">
            <w:pPr>
              <w:spacing w:before="40" w:after="40"/>
              <w:ind w:left="100" w:right="100"/>
              <w:jc w:val="center"/>
            </w:pPr>
            <w:r>
              <w:rPr>
                <w:rFonts w:ascii="Calibri" w:eastAsia="Calibri" w:hAnsi="Calibri" w:cs="Calibri"/>
                <w:color w:val="111111"/>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5364D4" w14:textId="77777777" w:rsidR="002117B2" w:rsidRDefault="00616284">
            <w:pPr>
              <w:spacing w:before="40" w:after="40"/>
              <w:ind w:left="100" w:right="100"/>
              <w:jc w:val="center"/>
            </w:pPr>
            <w:r>
              <w:rPr>
                <w:rFonts w:ascii="Calibri" w:eastAsia="Calibri" w:hAnsi="Calibri" w:cs="Calibri"/>
                <w:color w:val="111111"/>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501252"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DBD6FD" w14:textId="77777777" w:rsidR="002117B2" w:rsidRDefault="00616284">
            <w:pPr>
              <w:spacing w:before="40" w:after="40"/>
              <w:ind w:left="100" w:right="100"/>
              <w:jc w:val="center"/>
            </w:pPr>
            <w:r>
              <w:rPr>
                <w:rFonts w:ascii="Calibri" w:eastAsia="Calibri" w:hAnsi="Calibri" w:cs="Calibri"/>
                <w:color w:val="111111"/>
                <w:sz w:val="20"/>
                <w:szCs w:val="20"/>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D383D9" w14:textId="77777777" w:rsidR="002117B2" w:rsidRDefault="00616284">
            <w:pPr>
              <w:spacing w:before="40" w:after="40"/>
              <w:ind w:left="100" w:right="100"/>
              <w:jc w:val="center"/>
            </w:pPr>
            <w:r>
              <w:rPr>
                <w:rFonts w:ascii="Calibri" w:eastAsia="Calibri" w:hAnsi="Calibri" w:cs="Calibri"/>
                <w:color w:val="111111"/>
                <w:sz w:val="20"/>
                <w:szCs w:val="20"/>
              </w:rPr>
              <w:t>n/a</w:t>
            </w:r>
          </w:p>
        </w:tc>
      </w:tr>
      <w:tr w:rsidR="002117B2" w14:paraId="78728083" w14:textId="77777777">
        <w:trPr>
          <w:cantSplit/>
          <w:jc w:val="center"/>
        </w:trPr>
        <w:tc>
          <w:tcPr>
            <w:tcW w:w="3672" w:type="dxa"/>
            <w:gridSpan w:val="2"/>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5AA3C190" w14:textId="77777777" w:rsidR="002117B2" w:rsidRDefault="00616284">
            <w:pPr>
              <w:spacing w:before="40" w:after="40"/>
              <w:ind w:left="100" w:right="100"/>
              <w:jc w:val="center"/>
            </w:pPr>
            <w:r>
              <w:rPr>
                <w:rFonts w:ascii="Calibri" w:eastAsia="Calibri" w:hAnsi="Calibri" w:cs="Calibri"/>
                <w:color w:val="111111"/>
                <w:sz w:val="20"/>
                <w:szCs w:val="20"/>
              </w:rPr>
              <w:t>Total from NECD Review 2020</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458A07" w14:textId="77777777" w:rsidR="002117B2" w:rsidRDefault="00616284">
            <w:pPr>
              <w:spacing w:before="40" w:after="40"/>
              <w:ind w:left="100" w:right="100"/>
              <w:jc w:val="center"/>
            </w:pPr>
            <w:r>
              <w:rPr>
                <w:rFonts w:ascii="Calibri" w:eastAsia="Calibri" w:hAnsi="Calibri" w:cs="Calibri"/>
                <w:color w:val="111111"/>
                <w:sz w:val="20"/>
                <w:szCs w:val="20"/>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CD0AC8" w14:textId="77777777" w:rsidR="002117B2" w:rsidRDefault="00616284">
            <w:pPr>
              <w:spacing w:before="40" w:after="40"/>
              <w:ind w:left="100" w:right="100"/>
              <w:jc w:val="center"/>
            </w:pPr>
            <w:r>
              <w:rPr>
                <w:rFonts w:ascii="Calibri" w:eastAsia="Calibri" w:hAnsi="Calibri" w:cs="Calibri"/>
                <w:color w:val="111111"/>
                <w:sz w:val="20"/>
                <w:szCs w:val="20"/>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236522" w14:textId="77777777" w:rsidR="002117B2" w:rsidRDefault="00616284">
            <w:pPr>
              <w:spacing w:before="40" w:after="40"/>
              <w:ind w:left="100" w:right="100"/>
              <w:jc w:val="center"/>
            </w:pPr>
            <w:r>
              <w:rPr>
                <w:rFonts w:ascii="Calibri" w:eastAsia="Calibri" w:hAnsi="Calibri" w:cs="Calibri"/>
                <w:color w:val="111111"/>
                <w:sz w:val="20"/>
                <w:szCs w:val="20"/>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EBB852" w14:textId="77777777" w:rsidR="002117B2" w:rsidRDefault="00616284">
            <w:pPr>
              <w:spacing w:before="40" w:after="40"/>
              <w:ind w:left="100" w:right="100"/>
              <w:jc w:val="center"/>
            </w:pPr>
            <w:r>
              <w:rPr>
                <w:rFonts w:ascii="Calibri" w:eastAsia="Calibri" w:hAnsi="Calibri" w:cs="Calibri"/>
                <w:color w:val="111111"/>
                <w:sz w:val="20"/>
                <w:szCs w:val="20"/>
              </w:rPr>
              <w:t>28</w:t>
            </w: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0AFC01" w14:textId="77777777" w:rsidR="002117B2" w:rsidRDefault="002117B2">
            <w:pPr>
              <w:spacing w:before="40" w:after="40"/>
              <w:ind w:left="100" w:right="100"/>
              <w:jc w:val="center"/>
            </w:pPr>
          </w:p>
        </w:tc>
      </w:tr>
      <w:tr w:rsidR="002117B2" w14:paraId="55D8DF7B" w14:textId="77777777">
        <w:trPr>
          <w:cantSplit/>
          <w:jc w:val="center"/>
        </w:trPr>
        <w:tc>
          <w:tcPr>
            <w:tcW w:w="3672" w:type="dxa"/>
            <w:gridSpan w:val="2"/>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5BB90CBC" w14:textId="77777777" w:rsidR="002117B2" w:rsidRDefault="00616284">
            <w:pPr>
              <w:spacing w:before="40" w:after="40"/>
              <w:ind w:left="100" w:right="100"/>
              <w:jc w:val="center"/>
            </w:pPr>
            <w:r>
              <w:rPr>
                <w:rFonts w:ascii="Calibri" w:eastAsia="Calibri" w:hAnsi="Calibri" w:cs="Calibri"/>
                <w:color w:val="111111"/>
                <w:sz w:val="20"/>
                <w:szCs w:val="20"/>
              </w:rPr>
              <w:t>(Range for All Member States and the UK)</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2A7EE8" w14:textId="77777777" w:rsidR="002117B2" w:rsidRDefault="00616284">
            <w:pPr>
              <w:spacing w:before="40" w:after="40"/>
              <w:ind w:left="100" w:right="100"/>
              <w:jc w:val="center"/>
            </w:pPr>
            <w:r>
              <w:rPr>
                <w:rFonts w:ascii="Calibri" w:eastAsia="Calibri" w:hAnsi="Calibri" w:cs="Calibri"/>
                <w:b/>
                <w:color w:val="111111"/>
                <w:sz w:val="20"/>
                <w:szCs w:val="20"/>
              </w:rPr>
              <w:t>(0-3)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5378BA" w14:textId="77777777" w:rsidR="002117B2" w:rsidRDefault="00616284">
            <w:pPr>
              <w:spacing w:before="40" w:after="40"/>
              <w:ind w:left="100" w:right="100"/>
              <w:jc w:val="center"/>
            </w:pPr>
            <w:r>
              <w:rPr>
                <w:rFonts w:ascii="Calibri" w:eastAsia="Calibri" w:hAnsi="Calibri" w:cs="Calibri"/>
                <w:b/>
                <w:color w:val="111111"/>
                <w:sz w:val="20"/>
                <w:szCs w:val="20"/>
              </w:rPr>
              <w:t>(0-4)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4B475E" w14:textId="77777777" w:rsidR="002117B2" w:rsidRDefault="00616284">
            <w:pPr>
              <w:spacing w:before="40" w:after="40"/>
              <w:ind w:left="100" w:right="100"/>
              <w:jc w:val="center"/>
            </w:pPr>
            <w:r>
              <w:rPr>
                <w:rFonts w:ascii="Calibri" w:eastAsia="Calibri" w:hAnsi="Calibri" w:cs="Calibri"/>
                <w:b/>
                <w:color w:val="111111"/>
                <w:sz w:val="20"/>
                <w:szCs w:val="20"/>
              </w:rPr>
              <w:t>(0-4)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FDCC25" w14:textId="77777777" w:rsidR="002117B2" w:rsidRDefault="00616284">
            <w:pPr>
              <w:spacing w:before="40" w:after="40"/>
              <w:ind w:left="100" w:right="100"/>
              <w:jc w:val="center"/>
            </w:pPr>
            <w:r>
              <w:rPr>
                <w:rFonts w:ascii="Calibri" w:eastAsia="Calibri" w:hAnsi="Calibri" w:cs="Calibri"/>
                <w:b/>
                <w:color w:val="111111"/>
                <w:sz w:val="20"/>
                <w:szCs w:val="20"/>
              </w:rPr>
              <w:t>(0-28)</w:t>
            </w:r>
          </w:p>
        </w:tc>
        <w:tc>
          <w:tcPr>
            <w:tcW w:w="113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8D8FF7" w14:textId="77777777" w:rsidR="002117B2" w:rsidRDefault="002117B2">
            <w:pPr>
              <w:spacing w:before="40" w:after="40"/>
              <w:ind w:left="100" w:right="100"/>
              <w:jc w:val="center"/>
            </w:pPr>
          </w:p>
        </w:tc>
      </w:tr>
    </w:tbl>
    <w:p w14:paraId="7C0248F9" w14:textId="77777777" w:rsidR="009E7346" w:rsidRDefault="00101820" w:rsidP="00101820">
      <w:pPr>
        <w:pStyle w:val="StandardNum"/>
        <w:numPr>
          <w:ilvl w:val="0"/>
          <w:numId w:val="0"/>
        </w:numPr>
        <w:jc w:val="left"/>
        <w:rPr>
          <w:sz w:val="18"/>
          <w:szCs w:val="18"/>
        </w:rPr>
      </w:pPr>
      <w:r w:rsidRPr="00101820">
        <w:rPr>
          <w:sz w:val="18"/>
          <w:szCs w:val="18"/>
        </w:rPr>
        <w:t xml:space="preserve">* TC = Technical Correction, RE = Revised Estimate, </w:t>
      </w:r>
      <w:r w:rsidR="006A556C">
        <w:rPr>
          <w:sz w:val="18"/>
          <w:szCs w:val="18"/>
        </w:rPr>
        <w:t>U</w:t>
      </w:r>
      <w:r w:rsidRPr="00101820">
        <w:rPr>
          <w:sz w:val="18"/>
          <w:szCs w:val="18"/>
        </w:rPr>
        <w:t xml:space="preserve">PTC = </w:t>
      </w:r>
      <w:r w:rsidR="006A556C" w:rsidRPr="006A556C">
        <w:rPr>
          <w:sz w:val="18"/>
          <w:szCs w:val="18"/>
        </w:rPr>
        <w:t xml:space="preserve">Unquantified Potential Technical Correction </w:t>
      </w:r>
      <w:r w:rsidRPr="00101820">
        <w:rPr>
          <w:sz w:val="18"/>
          <w:szCs w:val="18"/>
        </w:rPr>
        <w:t>Recom. = Recommendation</w:t>
      </w:r>
    </w:p>
    <w:p w14:paraId="7EB669BF" w14:textId="77777777" w:rsidR="00C76A0E" w:rsidRPr="00E52EAB" w:rsidRDefault="00C76A0E" w:rsidP="00101820">
      <w:pPr>
        <w:pStyle w:val="StandardNum"/>
        <w:numPr>
          <w:ilvl w:val="0"/>
          <w:numId w:val="0"/>
        </w:numPr>
        <w:jc w:val="left"/>
        <w:sectPr w:rsidR="00C76A0E" w:rsidRPr="00E52EAB" w:rsidSect="00C93813">
          <w:pgSz w:w="11906" w:h="16838"/>
          <w:pgMar w:top="1440" w:right="1440" w:bottom="1440" w:left="1440" w:header="708" w:footer="708" w:gutter="0"/>
          <w:cols w:space="708"/>
          <w:docGrid w:linePitch="360"/>
        </w:sectPr>
      </w:pPr>
    </w:p>
    <w:p w14:paraId="3703B6CE" w14:textId="716AC919" w:rsidR="0038470B" w:rsidRPr="00BE0941" w:rsidRDefault="005140D3" w:rsidP="005B3C97">
      <w:pPr>
        <w:pStyle w:val="Antrat"/>
      </w:pPr>
      <w:bookmarkStart w:id="15" w:name="_Ref477427078"/>
      <w:bookmarkStart w:id="16" w:name="_Ref47102046"/>
      <w:bookmarkStart w:id="17" w:name="_Ref47102050"/>
      <w:bookmarkStart w:id="18" w:name="_Toc53738318"/>
      <w:r w:rsidRPr="00BE0941">
        <w:t xml:space="preserve">Table </w:t>
      </w:r>
      <w:r>
        <w:fldChar w:fldCharType="begin"/>
      </w:r>
      <w:r>
        <w:instrText>SEQ Table \* ARABIC</w:instrText>
      </w:r>
      <w:r>
        <w:fldChar w:fldCharType="separate"/>
      </w:r>
      <w:r w:rsidR="00774955">
        <w:rPr>
          <w:noProof/>
        </w:rPr>
        <w:t>4</w:t>
      </w:r>
      <w:r>
        <w:fldChar w:fldCharType="end"/>
      </w:r>
      <w:bookmarkEnd w:id="15"/>
      <w:r w:rsidRPr="00BE0941">
        <w:t>:</w:t>
      </w:r>
      <w:r w:rsidR="0038470B" w:rsidRPr="00BE0941">
        <w:t xml:space="preserve"> All recommendations</w:t>
      </w:r>
      <w:r w:rsidR="00B8596C" w:rsidRPr="00B8596C">
        <w:t>, revised estimates, technical corrections and unquantified potential technical corrections</w:t>
      </w:r>
      <w:r w:rsidR="0038470B" w:rsidRPr="00BE0941">
        <w:t xml:space="preserve"> including those additionally made during the NECD Review 20</w:t>
      </w:r>
      <w:r w:rsidR="00BE0941">
        <w:t>20</w:t>
      </w:r>
      <w:r w:rsidR="0038470B" w:rsidRPr="00BE0941">
        <w:t xml:space="preserve"> and those not implemented from previous reviews, for </w:t>
      </w:r>
      <w:r w:rsidR="00616284" w:rsidRPr="00616284">
        <w:t>NO</w:t>
      </w:r>
      <w:r w:rsidR="00616284" w:rsidRPr="00616284">
        <w:rPr>
          <w:vertAlign w:val="subscript"/>
        </w:rPr>
        <w:t>X</w:t>
      </w:r>
      <w:r w:rsidR="0038470B" w:rsidRPr="00BE0941">
        <w:t xml:space="preserve">, NMVOC, </w:t>
      </w:r>
      <w:r w:rsidR="00616284" w:rsidRPr="00616284">
        <w:t>SO</w:t>
      </w:r>
      <w:r w:rsidR="00616284" w:rsidRPr="00616284">
        <w:rPr>
          <w:vertAlign w:val="subscript"/>
        </w:rPr>
        <w:t>2</w:t>
      </w:r>
      <w:r w:rsidR="0038470B" w:rsidRPr="00BE0941">
        <w:t xml:space="preserve">, </w:t>
      </w:r>
      <w:r w:rsidR="00616284" w:rsidRPr="00616284">
        <w:t>NH</w:t>
      </w:r>
      <w:r w:rsidR="00616284" w:rsidRPr="00616284">
        <w:rPr>
          <w:vertAlign w:val="subscript"/>
        </w:rPr>
        <w:t>3</w:t>
      </w:r>
      <w:r w:rsidR="0038470B" w:rsidRPr="00BE0941">
        <w:t xml:space="preserve">, </w:t>
      </w:r>
      <w:r w:rsidR="00616284" w:rsidRPr="00616284">
        <w:t>PM</w:t>
      </w:r>
      <w:r w:rsidR="00616284" w:rsidRPr="00616284">
        <w:rPr>
          <w:vertAlign w:val="subscript"/>
        </w:rPr>
        <w:t>2.5</w:t>
      </w:r>
      <w:bookmarkEnd w:id="16"/>
      <w:bookmarkEnd w:id="17"/>
      <w:bookmarkEnd w:id="18"/>
    </w:p>
    <w:tbl>
      <w:tblPr>
        <w:tblW w:w="14400" w:type="dxa"/>
        <w:jc w:val="center"/>
        <w:tblLayout w:type="fixed"/>
        <w:tblLook w:val="0420" w:firstRow="1" w:lastRow="0" w:firstColumn="0" w:lastColumn="0" w:noHBand="0" w:noVBand="1"/>
      </w:tblPr>
      <w:tblGrid>
        <w:gridCol w:w="2880"/>
        <w:gridCol w:w="2160"/>
        <w:gridCol w:w="1080"/>
        <w:gridCol w:w="5040"/>
        <w:gridCol w:w="1080"/>
        <w:gridCol w:w="1080"/>
        <w:gridCol w:w="1080"/>
      </w:tblGrid>
      <w:tr w:rsidR="002117B2" w14:paraId="1F12688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488BE66"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CFD266C"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6B7CF23"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4921348"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2FA9963"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2DB117A"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93A5D1A"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56C42BB5"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406107"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D7118C" w14:textId="77777777" w:rsidR="002117B2" w:rsidRDefault="00616284">
            <w:pPr>
              <w:spacing w:before="40" w:after="40"/>
              <w:ind w:left="100" w:right="100"/>
            </w:pPr>
            <w:r>
              <w:rPr>
                <w:rFonts w:ascii="Calibri" w:eastAsia="Calibri" w:hAnsi="Calibri" w:cs="Calibri"/>
                <w:color w:val="111111"/>
                <w:sz w:val="18"/>
                <w:szCs w:val="18"/>
              </w:rPr>
              <w:t>LT-2A5b-2019-0001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C9170E"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863CD6" w14:textId="67AB4E65" w:rsidR="002117B2" w:rsidRDefault="00616284">
            <w:pPr>
              <w:spacing w:before="40" w:after="40"/>
              <w:ind w:left="100" w:right="100"/>
            </w:pPr>
            <w:r>
              <w:rPr>
                <w:rFonts w:ascii="Calibri" w:eastAsia="Calibri" w:hAnsi="Calibri" w:cs="Calibri"/>
                <w:color w:val="111111"/>
                <w:sz w:val="18"/>
                <w:szCs w:val="18"/>
              </w:rPr>
              <w:t xml:space="preserve">2A5b Construction and Demolition,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2005-2016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D8EC41" w14:textId="77777777" w:rsidR="002117B2" w:rsidRDefault="00616284">
            <w:pPr>
              <w:spacing w:before="40" w:after="40"/>
              <w:ind w:left="100" w:right="100"/>
            </w:pPr>
            <w:r>
              <w:rPr>
                <w:rFonts w:ascii="Calibri" w:eastAsia="Calibri" w:hAnsi="Calibri" w:cs="Calibri"/>
                <w:color w:val="111111"/>
                <w:sz w:val="18"/>
                <w:szCs w:val="18"/>
              </w:rPr>
              <w:t>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EC6608" w14:textId="77777777" w:rsidR="002117B2" w:rsidRDefault="00616284">
            <w:pPr>
              <w:spacing w:before="40" w:after="40"/>
              <w:ind w:left="100" w:right="100"/>
            </w:pPr>
            <w:r>
              <w:rPr>
                <w:rFonts w:ascii="Calibri" w:eastAsia="Calibri" w:hAnsi="Calibri" w:cs="Calibri"/>
                <w:color w:val="111111"/>
                <w:sz w:val="18"/>
                <w:szCs w:val="18"/>
              </w:rPr>
              <w:t>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133AD1"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7075101D"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CD990B" w14:textId="26ADA614"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2A5b Construction and </w:t>
            </w:r>
            <w:r w:rsidR="00874A03">
              <w:rPr>
                <w:rFonts w:ascii="Calibri" w:eastAsia="Calibri" w:hAnsi="Calibri" w:cs="Calibri"/>
                <w:color w:val="000000"/>
                <w:sz w:val="18"/>
                <w:szCs w:val="18"/>
              </w:rPr>
              <w:t>D</w:t>
            </w:r>
            <w:r>
              <w:rPr>
                <w:rFonts w:ascii="Calibri" w:eastAsia="Calibri" w:hAnsi="Calibri" w:cs="Calibri"/>
                <w:color w:val="000000"/>
                <w:sz w:val="18"/>
                <w:szCs w:val="18"/>
              </w:rPr>
              <w:t xml:space="preserve">emolition,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emissions, in years 2005, 2016, 2017 the TERT noted that in response to a question raised during the review Lithuania explained the difficulty in obtaining data on lengths of new roads but did not provide a revised estimate. The TERT decided to calculate a technical correction for the 2005, 2010, 2015-18 which was accepted by Lithuania. The estimates demonstrate that the issue is above the threshold of significance.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a revised estimate in its next submission.</w:t>
            </w:r>
          </w:p>
        </w:tc>
      </w:tr>
      <w:tr w:rsidR="002117B2" w14:paraId="15DFA1E8"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5F80F90"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879D7DD"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55AF6E0"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DBDD50D"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6A34038"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FE37EC8"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583A1B6"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D7D1FE6"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52EC24"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39F705" w14:textId="77777777" w:rsidR="002117B2" w:rsidRDefault="00616284">
            <w:pPr>
              <w:spacing w:before="40" w:after="40"/>
              <w:ind w:left="100" w:right="100"/>
            </w:pPr>
            <w:r>
              <w:rPr>
                <w:rFonts w:ascii="Calibri" w:eastAsia="Calibri" w:hAnsi="Calibri" w:cs="Calibri"/>
                <w:color w:val="111111"/>
                <w:sz w:val="18"/>
                <w:szCs w:val="18"/>
              </w:rPr>
              <w:t>LT-3B1b-2020-0001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C661C5"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A18C39" w14:textId="77C90F96" w:rsidR="002117B2" w:rsidRDefault="00616284">
            <w:pPr>
              <w:spacing w:before="40" w:after="40"/>
              <w:ind w:left="100" w:right="100"/>
            </w:pPr>
            <w:r>
              <w:rPr>
                <w:rFonts w:ascii="Calibri" w:eastAsia="Calibri" w:hAnsi="Calibri" w:cs="Calibri"/>
                <w:color w:val="111111"/>
                <w:sz w:val="18"/>
                <w:szCs w:val="18"/>
              </w:rPr>
              <w:t xml:space="preserve">3B1b Manure Management - Non-Dairy Cattle,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2001-2004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8D2F63"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5FCA25" w14:textId="77777777" w:rsidR="002117B2" w:rsidRDefault="00616284">
            <w:pPr>
              <w:spacing w:before="40" w:after="40"/>
              <w:ind w:left="100" w:right="100"/>
            </w:pPr>
            <w:r>
              <w:rPr>
                <w:rFonts w:ascii="Calibri" w:eastAsia="Calibri" w:hAnsi="Calibri" w:cs="Calibri"/>
                <w:color w:val="111111"/>
                <w:sz w:val="18"/>
                <w:szCs w:val="18"/>
              </w:rPr>
              <w:t>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DADDD6"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7D35AD2F"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3DAD7E" w14:textId="67420325"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w:t>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emission for 3B1b Non-</w:t>
            </w:r>
            <w:r w:rsidR="00874A03">
              <w:rPr>
                <w:rFonts w:ascii="Calibri" w:eastAsia="Calibri" w:hAnsi="Calibri" w:cs="Calibri"/>
                <w:color w:val="000000"/>
                <w:sz w:val="18"/>
                <w:szCs w:val="18"/>
              </w:rPr>
              <w:t>D</w:t>
            </w:r>
            <w:r>
              <w:rPr>
                <w:rFonts w:ascii="Calibri" w:eastAsia="Calibri" w:hAnsi="Calibri" w:cs="Calibri"/>
                <w:color w:val="000000"/>
                <w:sz w:val="18"/>
                <w:szCs w:val="18"/>
              </w:rPr>
              <w:t xml:space="preserve">airy </w:t>
            </w:r>
            <w:r w:rsidR="00874A03">
              <w:rPr>
                <w:rFonts w:ascii="Calibri" w:eastAsia="Calibri" w:hAnsi="Calibri" w:cs="Calibri"/>
                <w:color w:val="000000"/>
                <w:sz w:val="18"/>
                <w:szCs w:val="18"/>
              </w:rPr>
              <w:t>C</w:t>
            </w:r>
            <w:r>
              <w:rPr>
                <w:rFonts w:ascii="Calibri" w:eastAsia="Calibri" w:hAnsi="Calibri" w:cs="Calibri"/>
                <w:color w:val="000000"/>
                <w:sz w:val="18"/>
                <w:szCs w:val="18"/>
              </w:rPr>
              <w:t xml:space="preserve">attle for years 1990-2018 the TERT identified a potential under-estimate exceeding the threshold of significance. As a respond to a revised estimated provided by the TERT, Lithuania produced a revised estimate based on national data based on a calculation, which follows the equations given in the EEA/EMEP Guidebook. The TERT checked the calculation and found an inconsistency with the number given in NFR or CRF submission 2020, and therefore the TERT disagreed with the revised estimate calculated by Lithuania. Because of the uncertainties regarding the livestock production, the TERT decided to keep the proposed technical correction. Both estimates provided by the TERT and Lithuania demonstrate that the issue is above the threshold of significance.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provide a revision to these estimates in its next submission based on a number of non-dairy cattle which is in consistent with the number given in CRF reporting.</w:t>
            </w:r>
          </w:p>
        </w:tc>
      </w:tr>
      <w:tr w:rsidR="002117B2" w14:paraId="76B01072"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F41F25E"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FFBB139"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5CAD6F0"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1A47925"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DC876FA"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E893C73"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1E0C346"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4A71D248"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73D235"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543192" w14:textId="77777777" w:rsidR="002117B2" w:rsidRDefault="00616284">
            <w:pPr>
              <w:spacing w:before="40" w:after="40"/>
              <w:ind w:left="100" w:right="100"/>
            </w:pPr>
            <w:r>
              <w:rPr>
                <w:rFonts w:ascii="Calibri" w:eastAsia="Calibri" w:hAnsi="Calibri" w:cs="Calibri"/>
                <w:color w:val="111111"/>
                <w:sz w:val="18"/>
                <w:szCs w:val="18"/>
              </w:rPr>
              <w:t>LT-5A-2019-0002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FE5A40"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D9032B" w14:textId="77777777" w:rsidR="002117B2" w:rsidRDefault="00616284">
            <w:pPr>
              <w:spacing w:before="40" w:after="40"/>
              <w:ind w:left="100" w:right="100"/>
            </w:pPr>
            <w:r>
              <w:rPr>
                <w:rFonts w:ascii="Calibri" w:eastAsia="Calibri" w:hAnsi="Calibri" w:cs="Calibri"/>
                <w:color w:val="111111"/>
                <w:sz w:val="18"/>
                <w:szCs w:val="18"/>
              </w:rPr>
              <w:t>5A Biological Treatment of Waste - Solid Waste Disposal on Land, NMVOC, 2000-2017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5B7220"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35DF83" w14:textId="77777777" w:rsidR="002117B2" w:rsidRDefault="00616284">
            <w:pPr>
              <w:spacing w:before="40" w:after="40"/>
              <w:ind w:left="100" w:right="100"/>
            </w:pPr>
            <w:r>
              <w:rPr>
                <w:rFonts w:ascii="Calibri" w:eastAsia="Calibri" w:hAnsi="Calibri" w:cs="Calibri"/>
                <w:color w:val="111111"/>
                <w:sz w:val="18"/>
                <w:szCs w:val="18"/>
              </w:rPr>
              <w:t>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CC6CAB" w14:textId="77777777" w:rsidR="002117B2" w:rsidRDefault="00616284">
            <w:pPr>
              <w:spacing w:before="40" w:after="40"/>
              <w:ind w:left="100" w:right="100"/>
            </w:pPr>
            <w:r>
              <w:rPr>
                <w:rFonts w:ascii="Calibri" w:eastAsia="Calibri" w:hAnsi="Calibri" w:cs="Calibri"/>
                <w:color w:val="111111"/>
                <w:sz w:val="18"/>
                <w:szCs w:val="18"/>
              </w:rPr>
              <w:t>Yes</w:t>
            </w:r>
          </w:p>
        </w:tc>
      </w:tr>
      <w:tr w:rsidR="002117B2" w14:paraId="20F84391"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9CFF3B" w14:textId="1A3E24FE"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NMVOC emissions from 5A - Solid </w:t>
            </w:r>
            <w:r w:rsidR="00874A03">
              <w:rPr>
                <w:rFonts w:ascii="Calibri" w:eastAsia="Calibri" w:hAnsi="Calibri" w:cs="Calibri"/>
                <w:color w:val="000000"/>
                <w:sz w:val="18"/>
                <w:szCs w:val="18"/>
              </w:rPr>
              <w:t>W</w:t>
            </w:r>
            <w:r>
              <w:rPr>
                <w:rFonts w:ascii="Calibri" w:eastAsia="Calibri" w:hAnsi="Calibri" w:cs="Calibri"/>
                <w:color w:val="000000"/>
                <w:sz w:val="18"/>
                <w:szCs w:val="18"/>
              </w:rPr>
              <w:t xml:space="preserve">aste </w:t>
            </w:r>
            <w:r w:rsidR="00874A03">
              <w:rPr>
                <w:rFonts w:ascii="Calibri" w:eastAsia="Calibri" w:hAnsi="Calibri" w:cs="Calibri"/>
                <w:color w:val="000000"/>
                <w:sz w:val="18"/>
                <w:szCs w:val="18"/>
              </w:rPr>
              <w:t>D</w:t>
            </w:r>
            <w:r>
              <w:rPr>
                <w:rFonts w:ascii="Calibri" w:eastAsia="Calibri" w:hAnsi="Calibri" w:cs="Calibri"/>
                <w:color w:val="000000"/>
                <w:sz w:val="18"/>
                <w:szCs w:val="18"/>
              </w:rPr>
              <w:t xml:space="preserve">isposal and all years, a Tier 1 method is used for a key category. The TERT notes that using a Tier 1 method is not best practice, and result in an over-estimate of emissions.  This was raised during the 2019 NECD review and the methodology proposed by the TERT in 2019 was not implemented. During the 2020 NECD review, Lithuania explained that a higher Tier method will be implemented in the next submission but did not provide a revised estimate. The TERT decided to calculate a technical correction for the years 2005, 2010 and 2015-2018 which was accepted by Lithuania. The estimates demonstrate that the issue is above the threshold of significance in 2005 and 2010.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a revised estimate in its next submission.</w:t>
            </w:r>
          </w:p>
        </w:tc>
      </w:tr>
      <w:tr w:rsidR="002117B2" w14:paraId="4F892D58"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F44CFF0"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DEA2838"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B15B3E6"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AA36A4D"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A31ED75"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86F610C"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3EABE09"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0FE30142"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9D6D25"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711F07" w14:textId="77777777" w:rsidR="002117B2" w:rsidRDefault="00616284">
            <w:pPr>
              <w:spacing w:before="40" w:after="40"/>
              <w:ind w:left="100" w:right="100"/>
            </w:pPr>
            <w:r>
              <w:rPr>
                <w:rFonts w:ascii="Calibri" w:eastAsia="Calibri" w:hAnsi="Calibri" w:cs="Calibri"/>
                <w:color w:val="111111"/>
                <w:sz w:val="18"/>
                <w:szCs w:val="18"/>
              </w:rPr>
              <w:t>LT-1A3bv-2017-0001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C0094F"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321DA1" w14:textId="77777777" w:rsidR="002117B2" w:rsidRDefault="00616284">
            <w:pPr>
              <w:spacing w:before="40" w:after="40"/>
              <w:ind w:left="100" w:right="100"/>
            </w:pPr>
            <w:r>
              <w:rPr>
                <w:rFonts w:ascii="Calibri" w:eastAsia="Calibri" w:hAnsi="Calibri" w:cs="Calibri"/>
                <w:color w:val="111111"/>
                <w:sz w:val="18"/>
                <w:szCs w:val="18"/>
              </w:rPr>
              <w:t>1A3bv Road Transport: Gasoline Evaporation, NMVOC, 2000-2017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A75BC4"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784378" w14:textId="77777777" w:rsidR="002117B2" w:rsidRDefault="00616284">
            <w:pPr>
              <w:spacing w:before="40" w:after="40"/>
              <w:ind w:left="100" w:right="100"/>
            </w:pPr>
            <w:r>
              <w:rPr>
                <w:rFonts w:ascii="Calibri" w:eastAsia="Calibri" w:hAnsi="Calibri" w:cs="Calibri"/>
                <w:color w:val="111111"/>
                <w:sz w:val="18"/>
                <w:szCs w:val="18"/>
              </w:rPr>
              <w:t>RE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C1478F"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1E56A510"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B3FF52" w14:textId="49C2BD2E"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For 1A3bv</w:t>
            </w:r>
            <w:r w:rsidR="00874A03">
              <w:rPr>
                <w:rFonts w:ascii="Calibri" w:eastAsia="Calibri" w:hAnsi="Calibri" w:cs="Calibri"/>
                <w:color w:val="000000"/>
                <w:sz w:val="18"/>
                <w:szCs w:val="18"/>
              </w:rPr>
              <w:t xml:space="preserve"> </w:t>
            </w:r>
            <w:r w:rsidR="00874A03">
              <w:rPr>
                <w:rFonts w:ascii="Calibri" w:eastAsia="Calibri" w:hAnsi="Calibri" w:cs="Calibri"/>
                <w:color w:val="111111"/>
                <w:sz w:val="18"/>
                <w:szCs w:val="18"/>
              </w:rPr>
              <w:t>Road Transport: Gasoline Evaporation,</w:t>
            </w:r>
            <w:r>
              <w:rPr>
                <w:rFonts w:ascii="Calibri" w:eastAsia="Calibri" w:hAnsi="Calibri" w:cs="Calibri"/>
                <w:color w:val="000000"/>
                <w:sz w:val="18"/>
                <w:szCs w:val="18"/>
              </w:rPr>
              <w:t xml:space="preserve"> for pollutant NMVOC, for all years, the TERT noted an underestimation of emissions. In response to a question raised during the review, Lithuania explained that these emissions are calculated on Tier 3 level automatically in COPERT and the TERT requested a recalculation of these emissions. Lithuania provided revised estimates for years 2010, 2015-2018. The TERT agreed with the revised estimate provided by Lithuania.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the revised estimate in its 2021 NFR and IIR submission.</w:t>
            </w:r>
          </w:p>
        </w:tc>
      </w:tr>
      <w:tr w:rsidR="002117B2" w14:paraId="5B490F0C"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D071A18"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4810F45"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63389FB"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24139B2"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B4F67DC"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050490D"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30F414D"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6B4D757"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D324AA"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325769" w14:textId="77777777" w:rsidR="002117B2" w:rsidRDefault="00616284">
            <w:pPr>
              <w:spacing w:before="40" w:after="40"/>
              <w:ind w:left="100" w:right="100"/>
            </w:pPr>
            <w:r>
              <w:rPr>
                <w:rFonts w:ascii="Calibri" w:eastAsia="Calibri" w:hAnsi="Calibri" w:cs="Calibri"/>
                <w:color w:val="111111"/>
                <w:sz w:val="18"/>
                <w:szCs w:val="18"/>
              </w:rPr>
              <w:t>LT-1A3ei-2017-0001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504631"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A180C4" w14:textId="0A17542F" w:rsidR="002117B2" w:rsidRDefault="00616284">
            <w:pPr>
              <w:spacing w:before="40" w:after="40"/>
              <w:ind w:left="100" w:right="100"/>
            </w:pPr>
            <w:r>
              <w:rPr>
                <w:rFonts w:ascii="Calibri" w:eastAsia="Calibri" w:hAnsi="Calibri" w:cs="Calibri"/>
                <w:color w:val="111111"/>
                <w:sz w:val="18"/>
                <w:szCs w:val="18"/>
              </w:rPr>
              <w:t xml:space="preserve">1A3ei Pipeline Transport,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1990-2015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D5DD89"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A08DD6" w14:textId="77777777" w:rsidR="002117B2" w:rsidRDefault="00616284">
            <w:pPr>
              <w:spacing w:before="40" w:after="40"/>
              <w:ind w:left="100" w:right="100"/>
            </w:pPr>
            <w:r>
              <w:rPr>
                <w:rFonts w:ascii="Calibri" w:eastAsia="Calibri" w:hAnsi="Calibri" w:cs="Calibri"/>
                <w:color w:val="111111"/>
                <w:sz w:val="18"/>
                <w:szCs w:val="18"/>
              </w:rPr>
              <w:t>RE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6E2601"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60614E5C"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B622C9" w14:textId="4E99E430"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1A3ei Pipeline Transport,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emissions the TERT noted that these emissions were not included in the 2020 NFR, even though last year a revised estimate was provided. In response to a question raised during the review, Lithuania explained that this was a management error and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from this source will be included in 2021 submission. Lithuania provided revised estimates for years 2005, 2010, 2015, 2016, 2017 and 2018. The TERT agreed with the revised estimate provided by Lithuania.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the revised estimate in its 2021 NFR and IIR submission.</w:t>
            </w:r>
          </w:p>
        </w:tc>
      </w:tr>
      <w:tr w:rsidR="002117B2" w14:paraId="65DFA4E9"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0081B5B"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20E362C"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640EDBC"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3ECFE2B"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5DF8C4A"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C15D677"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CD15611"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345FE472"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C67D93"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CC3EB5" w14:textId="77777777" w:rsidR="002117B2" w:rsidRDefault="00616284">
            <w:pPr>
              <w:spacing w:before="40" w:after="40"/>
              <w:ind w:left="100" w:right="100"/>
            </w:pPr>
            <w:r>
              <w:rPr>
                <w:rFonts w:ascii="Calibri" w:eastAsia="Calibri" w:hAnsi="Calibri" w:cs="Calibri"/>
                <w:color w:val="111111"/>
                <w:sz w:val="18"/>
                <w:szCs w:val="18"/>
              </w:rPr>
              <w:t>LT-3B1a-2020-0001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8E521D"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F0EA63" w14:textId="1A7356B3" w:rsidR="002117B2" w:rsidRDefault="00616284">
            <w:pPr>
              <w:spacing w:before="40" w:after="40"/>
              <w:ind w:left="100" w:right="100"/>
            </w:pPr>
            <w:r>
              <w:rPr>
                <w:rFonts w:ascii="Calibri" w:eastAsia="Calibri" w:hAnsi="Calibri" w:cs="Calibri"/>
                <w:color w:val="111111"/>
                <w:sz w:val="18"/>
                <w:szCs w:val="18"/>
              </w:rPr>
              <w:t xml:space="preserve">3B1a Manure Management - Dairy Cattle,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2000-2017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5CDF96"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FA4EA3" w14:textId="77777777" w:rsidR="002117B2" w:rsidRDefault="00616284">
            <w:pPr>
              <w:spacing w:before="40" w:after="40"/>
              <w:ind w:left="100" w:right="100"/>
            </w:pPr>
            <w:r>
              <w:rPr>
                <w:rFonts w:ascii="Calibri" w:eastAsia="Calibri" w:hAnsi="Calibri" w:cs="Calibri"/>
                <w:color w:val="111111"/>
                <w:sz w:val="18"/>
                <w:szCs w:val="18"/>
              </w:rPr>
              <w:t>RE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A7B88D"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6CA40B11"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CBC07B" w14:textId="705A49DF"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w:t>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emission for 3B1a Dairy </w:t>
            </w:r>
            <w:r w:rsidR="00874A03">
              <w:rPr>
                <w:rFonts w:ascii="Calibri" w:eastAsia="Calibri" w:hAnsi="Calibri" w:cs="Calibri"/>
                <w:color w:val="000000"/>
                <w:sz w:val="18"/>
                <w:szCs w:val="18"/>
              </w:rPr>
              <w:t>C</w:t>
            </w:r>
            <w:r>
              <w:rPr>
                <w:rFonts w:ascii="Calibri" w:eastAsia="Calibri" w:hAnsi="Calibri" w:cs="Calibri"/>
                <w:color w:val="000000"/>
                <w:sz w:val="18"/>
                <w:szCs w:val="18"/>
              </w:rPr>
              <w:t xml:space="preserve">attle for years 1990-2018 the TERT identified a potential under-estimate exceeding the threshold of significance. In response to a question raised during the review, Lithuania explained that they were not able to submit the underlying calculations corresponding to the emissions reported in sub2020. </w:t>
            </w:r>
            <w:r w:rsidR="001F67E6">
              <w:rPr>
                <w:rFonts w:ascii="Calibri" w:eastAsia="Calibri" w:hAnsi="Calibri" w:cs="Calibri"/>
                <w:color w:val="000000"/>
                <w:sz w:val="18"/>
                <w:szCs w:val="18"/>
              </w:rPr>
              <w:t xml:space="preserve">In </w:t>
            </w:r>
            <w:r>
              <w:rPr>
                <w:rFonts w:ascii="Calibri" w:eastAsia="Calibri" w:hAnsi="Calibri" w:cs="Calibri"/>
                <w:color w:val="000000"/>
                <w:sz w:val="18"/>
                <w:szCs w:val="18"/>
              </w:rPr>
              <w:t xml:space="preserve">respond to </w:t>
            </w:r>
            <w:r w:rsidR="001F67E6">
              <w:rPr>
                <w:rFonts w:ascii="Calibri" w:eastAsia="Calibri" w:hAnsi="Calibri" w:cs="Calibri"/>
                <w:color w:val="000000"/>
                <w:sz w:val="18"/>
                <w:szCs w:val="18"/>
              </w:rPr>
              <w:t xml:space="preserve">a </w:t>
            </w:r>
            <w:r w:rsidR="00EA50BC">
              <w:rPr>
                <w:rFonts w:ascii="Calibri" w:eastAsia="Calibri" w:hAnsi="Calibri" w:cs="Calibri"/>
                <w:color w:val="000000"/>
                <w:sz w:val="18"/>
                <w:szCs w:val="18"/>
              </w:rPr>
              <w:t>potential technical corre</w:t>
            </w:r>
            <w:r w:rsidR="00EC4A18">
              <w:rPr>
                <w:rFonts w:ascii="Calibri" w:eastAsia="Calibri" w:hAnsi="Calibri" w:cs="Calibri"/>
                <w:color w:val="000000"/>
                <w:sz w:val="18"/>
                <w:szCs w:val="18"/>
              </w:rPr>
              <w:t>c</w:t>
            </w:r>
            <w:r w:rsidR="00EA50BC">
              <w:rPr>
                <w:rFonts w:ascii="Calibri" w:eastAsia="Calibri" w:hAnsi="Calibri" w:cs="Calibri"/>
                <w:color w:val="000000"/>
                <w:sz w:val="18"/>
                <w:szCs w:val="18"/>
              </w:rPr>
              <w:t xml:space="preserve">tion </w:t>
            </w:r>
            <w:r>
              <w:rPr>
                <w:rFonts w:ascii="Calibri" w:eastAsia="Calibri" w:hAnsi="Calibri" w:cs="Calibri"/>
                <w:color w:val="000000"/>
                <w:sz w:val="18"/>
                <w:szCs w:val="18"/>
              </w:rPr>
              <w:t xml:space="preserve">provided by the TERT, Lithuania </w:t>
            </w:r>
            <w:r w:rsidR="00EC4A18">
              <w:rPr>
                <w:rFonts w:ascii="Calibri" w:eastAsia="Calibri" w:hAnsi="Calibri" w:cs="Calibri"/>
                <w:color w:val="000000"/>
                <w:sz w:val="18"/>
                <w:szCs w:val="18"/>
              </w:rPr>
              <w:t xml:space="preserve">provided </w:t>
            </w:r>
            <w:r>
              <w:rPr>
                <w:rFonts w:ascii="Calibri" w:eastAsia="Calibri" w:hAnsi="Calibri" w:cs="Calibri"/>
                <w:color w:val="000000"/>
                <w:sz w:val="18"/>
                <w:szCs w:val="18"/>
              </w:rPr>
              <w:t xml:space="preserve">a revised estimate based on national data. The TERT agreed with the revised estimate provided by Lithuania.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the revised estimate in its 2021 and include information in the IIR submission for all the key parameters used in the calculation.</w:t>
            </w:r>
          </w:p>
        </w:tc>
      </w:tr>
      <w:tr w:rsidR="002117B2" w14:paraId="5DB7F8BB"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C4989F4"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C3E3C5E"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A9EBD2F"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6CCA884"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4698DC5"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07092CA"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9BC0928"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BD24966"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CDF66C"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737AED" w14:textId="77777777" w:rsidR="002117B2" w:rsidRDefault="00616284">
            <w:pPr>
              <w:spacing w:before="40" w:after="40"/>
              <w:ind w:left="100" w:right="100"/>
            </w:pPr>
            <w:r>
              <w:rPr>
                <w:rFonts w:ascii="Calibri" w:eastAsia="Calibri" w:hAnsi="Calibri" w:cs="Calibri"/>
                <w:color w:val="111111"/>
                <w:sz w:val="18"/>
                <w:szCs w:val="18"/>
              </w:rPr>
              <w:t>LT-3B3-2020-0001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3FD34D"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9A1EE4" w14:textId="168AACDA" w:rsidR="002117B2" w:rsidRDefault="00616284">
            <w:pPr>
              <w:spacing w:before="40" w:after="40"/>
              <w:ind w:left="100" w:right="100"/>
            </w:pPr>
            <w:r>
              <w:rPr>
                <w:rFonts w:ascii="Calibri" w:eastAsia="Calibri" w:hAnsi="Calibri" w:cs="Calibri"/>
                <w:color w:val="111111"/>
                <w:sz w:val="18"/>
                <w:szCs w:val="18"/>
              </w:rPr>
              <w:t xml:space="preserve">3B3 Manure Management - Swine,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2000-2015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9FFC94"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A974E3" w14:textId="77777777" w:rsidR="002117B2" w:rsidRDefault="00616284">
            <w:pPr>
              <w:spacing w:before="40" w:after="40"/>
              <w:ind w:left="100" w:right="100"/>
            </w:pPr>
            <w:r>
              <w:rPr>
                <w:rFonts w:ascii="Calibri" w:eastAsia="Calibri" w:hAnsi="Calibri" w:cs="Calibri"/>
                <w:color w:val="111111"/>
                <w:sz w:val="18"/>
                <w:szCs w:val="18"/>
              </w:rPr>
              <w:t>RE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F5E801"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0470401B"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56C27D" w14:textId="336346EB"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w:t>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emission for 3B3 Swine for years 1990-2018 the TERT noted that in response to a question raised during the review Lithuania did not provide a clear response to questions from the TERT. The TERT decided to calculate a technical correction for the year 1990-2018, which was accepted by </w:t>
            </w:r>
            <w:r w:rsidR="00752435">
              <w:rPr>
                <w:rFonts w:ascii="Calibri" w:eastAsia="Calibri" w:hAnsi="Calibri" w:cs="Calibri"/>
                <w:color w:val="000000"/>
                <w:sz w:val="18"/>
                <w:szCs w:val="18"/>
              </w:rPr>
              <w:t>Lithuania</w:t>
            </w:r>
            <w:r>
              <w:rPr>
                <w:rFonts w:ascii="Calibri" w:eastAsia="Calibri" w:hAnsi="Calibri" w:cs="Calibri"/>
                <w:color w:val="000000"/>
                <w:sz w:val="18"/>
                <w:szCs w:val="18"/>
              </w:rPr>
              <w:t xml:space="preserve">. The estimates demonstrate that the issue is above the threshold of significance for year 2005 and 2010.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a revised estimate in its next submission and include description in IIR of the key parameters used in the calculation</w:t>
            </w:r>
          </w:p>
        </w:tc>
      </w:tr>
      <w:tr w:rsidR="002117B2" w14:paraId="2A4B4CC9"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15807AD"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92B56B6"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EAA35F1"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2E456BC"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CE0519F"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4A82D1B"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2D757AC"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5AD1428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CD72B1"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B5C891" w14:textId="77777777" w:rsidR="002117B2" w:rsidRDefault="00616284">
            <w:pPr>
              <w:spacing w:before="40" w:after="40"/>
              <w:ind w:left="100" w:right="100"/>
            </w:pPr>
            <w:r>
              <w:rPr>
                <w:rFonts w:ascii="Calibri" w:eastAsia="Calibri" w:hAnsi="Calibri" w:cs="Calibri"/>
                <w:color w:val="111111"/>
                <w:sz w:val="18"/>
                <w:szCs w:val="18"/>
              </w:rPr>
              <w:t>LT-2D3d-2017-0001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DC3B77"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E2276F" w14:textId="77777777" w:rsidR="002117B2" w:rsidRDefault="00616284">
            <w:pPr>
              <w:spacing w:before="40" w:after="40"/>
              <w:ind w:left="100" w:right="100"/>
            </w:pPr>
            <w:r>
              <w:rPr>
                <w:rFonts w:ascii="Calibri" w:eastAsia="Calibri" w:hAnsi="Calibri" w:cs="Calibri"/>
                <w:color w:val="111111"/>
                <w:sz w:val="18"/>
                <w:szCs w:val="18"/>
              </w:rPr>
              <w:t>2D3d Coating Applications, NMVOC, 1990-2015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0FBA0C"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612756" w14:textId="77777777" w:rsidR="002117B2" w:rsidRDefault="00616284">
            <w:pPr>
              <w:spacing w:before="40" w:after="40"/>
              <w:ind w:left="100" w:right="100"/>
            </w:pPr>
            <w:r>
              <w:rPr>
                <w:rFonts w:ascii="Calibri" w:eastAsia="Calibri" w:hAnsi="Calibri" w:cs="Calibri"/>
                <w:color w:val="111111"/>
                <w:sz w:val="18"/>
                <w:szCs w:val="18"/>
              </w:rPr>
              <w:t>UPTC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2F0B4C"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5AD26B4F"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F1AEFA" w14:textId="3E62D2AF"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The TERT notes with reference to category 2D3d Coating </w:t>
            </w:r>
            <w:r w:rsidR="00874A03">
              <w:rPr>
                <w:rFonts w:ascii="Calibri" w:eastAsia="Calibri" w:hAnsi="Calibri" w:cs="Calibri"/>
                <w:color w:val="000000"/>
                <w:sz w:val="18"/>
                <w:szCs w:val="18"/>
              </w:rPr>
              <w:t>A</w:t>
            </w:r>
            <w:r>
              <w:rPr>
                <w:rFonts w:ascii="Calibri" w:eastAsia="Calibri" w:hAnsi="Calibri" w:cs="Calibri"/>
                <w:color w:val="000000"/>
                <w:sz w:val="18"/>
                <w:szCs w:val="18"/>
              </w:rPr>
              <w:t xml:space="preserve">pplications, for NMVOC emissions and years 1990-2018 that a Tier 1 method is used for a key category . The TERT notes that using a Tier 1 method is not best </w:t>
            </w:r>
            <w:r w:rsidR="00752435">
              <w:rPr>
                <w:rFonts w:ascii="Calibri" w:eastAsia="Calibri" w:hAnsi="Calibri" w:cs="Calibri"/>
                <w:color w:val="000000"/>
                <w:sz w:val="18"/>
                <w:szCs w:val="18"/>
              </w:rPr>
              <w:t>practice and</w:t>
            </w:r>
            <w:r>
              <w:rPr>
                <w:rFonts w:ascii="Calibri" w:eastAsia="Calibri" w:hAnsi="Calibri" w:cs="Calibri"/>
                <w:color w:val="000000"/>
                <w:sz w:val="18"/>
                <w:szCs w:val="18"/>
              </w:rPr>
              <w:t xml:space="preserve"> could result in an over- or under-estimate of emissions. This over- or under-estimate may have an impact on total emissions that is above the threshold of significance. Lithuania has not provided a revised estimate which has been accepted by the TERT. It is currently not possible for the TERT to provide a numerical emission estimate based on a Tier 2 method, and therefore the issue will be flagged as Potential Technical </w:t>
            </w:r>
            <w:r w:rsidR="00752435">
              <w:rPr>
                <w:rFonts w:ascii="Calibri" w:eastAsia="Calibri" w:hAnsi="Calibri" w:cs="Calibri"/>
                <w:color w:val="000000"/>
                <w:sz w:val="18"/>
                <w:szCs w:val="18"/>
              </w:rPr>
              <w:t>Correction and</w:t>
            </w:r>
            <w:r>
              <w:rPr>
                <w:rFonts w:ascii="Calibri" w:eastAsia="Calibri" w:hAnsi="Calibri" w:cs="Calibri"/>
                <w:color w:val="000000"/>
                <w:sz w:val="18"/>
                <w:szCs w:val="18"/>
              </w:rPr>
              <w:t xml:space="preserve"> will be assessed as a high priority item in future reviews.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should calculate NMVOC emissions from 2D3d Coating Applications using a Tier 2 or Tier 3 method for inclusion in next years’ inventory submission.</w:t>
            </w:r>
          </w:p>
        </w:tc>
      </w:tr>
      <w:tr w:rsidR="002117B2" w14:paraId="395D6881"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56BA245"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D3D127A"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AFA8AE4"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8AF2BFE"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337569C"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D028660"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4E9D357"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41EE63B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7EE3AB"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F109E9" w14:textId="77777777" w:rsidR="002117B2" w:rsidRDefault="00616284">
            <w:pPr>
              <w:spacing w:before="40" w:after="40"/>
              <w:ind w:left="100" w:right="100"/>
            </w:pPr>
            <w:r>
              <w:rPr>
                <w:rFonts w:ascii="Calibri" w:eastAsia="Calibri" w:hAnsi="Calibri" w:cs="Calibri"/>
                <w:color w:val="111111"/>
                <w:sz w:val="18"/>
                <w:szCs w:val="18"/>
              </w:rPr>
              <w:t>LT-2D3h-2019-0001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1613FA"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09199E" w14:textId="6122D56A" w:rsidR="002117B2" w:rsidRDefault="00616284">
            <w:pPr>
              <w:spacing w:before="40" w:after="40"/>
              <w:ind w:left="100" w:right="100"/>
            </w:pPr>
            <w:r>
              <w:rPr>
                <w:rFonts w:ascii="Calibri" w:eastAsia="Calibri" w:hAnsi="Calibri" w:cs="Calibri"/>
                <w:color w:val="111111"/>
                <w:sz w:val="18"/>
                <w:szCs w:val="18"/>
              </w:rPr>
              <w:t>2D3h Printing, NMVOC, 1990-201</w:t>
            </w:r>
            <w:r w:rsidR="00EB7F38">
              <w:rPr>
                <w:rFonts w:ascii="Calibri" w:eastAsia="Calibri" w:hAnsi="Calibri" w:cs="Calibri"/>
                <w:color w:val="111111"/>
                <w:sz w:val="18"/>
                <w:szCs w:val="18"/>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2873EE"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F42769" w14:textId="77777777" w:rsidR="002117B2" w:rsidRDefault="00616284">
            <w:pPr>
              <w:spacing w:before="40" w:after="40"/>
              <w:ind w:left="100" w:right="100"/>
            </w:pPr>
            <w:r>
              <w:rPr>
                <w:rFonts w:ascii="Calibri" w:eastAsia="Calibri" w:hAnsi="Calibri" w:cs="Calibri"/>
                <w:color w:val="111111"/>
                <w:sz w:val="18"/>
                <w:szCs w:val="18"/>
              </w:rPr>
              <w:t>UPTC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98B898"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023EC9D1"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73CAFA" w14:textId="4D9BEDB8"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The TERT notes with reference to category 2D3h Printing and pollutant NMVOC for all years that a Tier 1 method is used for a key category. The TERT notes that using a Tier 1 method is not best </w:t>
            </w:r>
            <w:r w:rsidR="00752435">
              <w:rPr>
                <w:rFonts w:ascii="Calibri" w:eastAsia="Calibri" w:hAnsi="Calibri" w:cs="Calibri"/>
                <w:color w:val="000000"/>
                <w:sz w:val="18"/>
                <w:szCs w:val="18"/>
              </w:rPr>
              <w:t>practice and</w:t>
            </w:r>
            <w:r>
              <w:rPr>
                <w:rFonts w:ascii="Calibri" w:eastAsia="Calibri" w:hAnsi="Calibri" w:cs="Calibri"/>
                <w:color w:val="000000"/>
                <w:sz w:val="18"/>
                <w:szCs w:val="18"/>
              </w:rPr>
              <w:t xml:space="preserve"> could result in an over- or under-estimate of emissions. This over- or under-estimate may have an impact on total emissions that is above the threshold of significance. Lithuania has not provided a revised estimate which has been accepted by the TERT. It is currently not possible for the TERT to provide a numerical emission estimate based on a Tier 2 method, and therefore the issue will be flagged as Potential Technical </w:t>
            </w:r>
            <w:r w:rsidR="00752435">
              <w:rPr>
                <w:rFonts w:ascii="Calibri" w:eastAsia="Calibri" w:hAnsi="Calibri" w:cs="Calibri"/>
                <w:color w:val="000000"/>
                <w:sz w:val="18"/>
                <w:szCs w:val="18"/>
              </w:rPr>
              <w:t>Correction and</w:t>
            </w:r>
            <w:r>
              <w:rPr>
                <w:rFonts w:ascii="Calibri" w:eastAsia="Calibri" w:hAnsi="Calibri" w:cs="Calibri"/>
                <w:color w:val="000000"/>
                <w:sz w:val="18"/>
                <w:szCs w:val="18"/>
              </w:rPr>
              <w:t xml:space="preserve"> will be assessed as a high priority item in future reviews.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should calculate NMVOC emissions from 2D3h Printing using a Tier 2 method for inclusion in next years’ inventory submission.</w:t>
            </w:r>
          </w:p>
        </w:tc>
      </w:tr>
      <w:tr w:rsidR="002117B2" w14:paraId="0CBF346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DD1071B"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70A68C9"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562A690"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49C96FD"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65935FC"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778E8BA"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484FBDD"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7BE6ABA7"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499169"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5C1BA6" w14:textId="77777777" w:rsidR="002117B2" w:rsidRDefault="00616284">
            <w:pPr>
              <w:spacing w:before="40" w:after="40"/>
              <w:ind w:left="100" w:right="100"/>
            </w:pPr>
            <w:r>
              <w:rPr>
                <w:rFonts w:ascii="Calibri" w:eastAsia="Calibri" w:hAnsi="Calibri" w:cs="Calibri"/>
                <w:color w:val="111111"/>
                <w:sz w:val="18"/>
                <w:szCs w:val="18"/>
              </w:rPr>
              <w:t>LT-2D3i-2017-0001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9D731D"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560822" w14:textId="206B613A" w:rsidR="002117B2" w:rsidRDefault="00616284">
            <w:pPr>
              <w:spacing w:before="40" w:after="40"/>
              <w:ind w:left="100" w:right="100"/>
            </w:pPr>
            <w:r>
              <w:rPr>
                <w:rFonts w:ascii="Calibri" w:eastAsia="Calibri" w:hAnsi="Calibri" w:cs="Calibri"/>
                <w:color w:val="111111"/>
                <w:sz w:val="18"/>
                <w:szCs w:val="18"/>
              </w:rPr>
              <w:t xml:space="preserve">2D3i Other Solvent Use, </w:t>
            </w: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2</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xml:space="preserve">, NMVOC,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1990-201</w:t>
            </w:r>
            <w:r w:rsidR="00EB7F38">
              <w:rPr>
                <w:rFonts w:ascii="Calibri" w:eastAsia="Calibri" w:hAnsi="Calibri" w:cs="Calibri"/>
                <w:color w:val="111111"/>
                <w:sz w:val="18"/>
                <w:szCs w:val="18"/>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82F012"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40B5C9" w14:textId="77777777" w:rsidR="002117B2" w:rsidRDefault="00616284">
            <w:pPr>
              <w:spacing w:before="40" w:after="40"/>
              <w:ind w:left="100" w:right="100"/>
            </w:pPr>
            <w:r>
              <w:rPr>
                <w:rFonts w:ascii="Calibri" w:eastAsia="Calibri" w:hAnsi="Calibri" w:cs="Calibri"/>
                <w:color w:val="111111"/>
                <w:sz w:val="18"/>
                <w:szCs w:val="18"/>
              </w:rPr>
              <w:t>UPTC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8AB24A"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4551F85D"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541FBA" w14:textId="5781108D"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The TERT notes with reference to category 2D3i Other Solvent Use and pollutants NMVOC and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for all years an under-estimate of emissions. The TERT noted that Lithuania reported emissions of fireworks, tobacco and shoes, but not other sources included under NFR category 2D3i such as Glass Wool </w:t>
            </w:r>
            <w:r w:rsidR="00752435">
              <w:rPr>
                <w:rFonts w:ascii="Calibri" w:eastAsia="Calibri" w:hAnsi="Calibri" w:cs="Calibri"/>
                <w:color w:val="000000"/>
                <w:sz w:val="18"/>
                <w:szCs w:val="18"/>
              </w:rPr>
              <w:t>Induction</w:t>
            </w:r>
            <w:r>
              <w:rPr>
                <w:rFonts w:ascii="Calibri" w:eastAsia="Calibri" w:hAnsi="Calibri" w:cs="Calibri"/>
                <w:color w:val="000000"/>
                <w:sz w:val="18"/>
                <w:szCs w:val="18"/>
              </w:rPr>
              <w:t xml:space="preserve">, Mineral Wool </w:t>
            </w:r>
            <w:r w:rsidR="00752435">
              <w:rPr>
                <w:rFonts w:ascii="Calibri" w:eastAsia="Calibri" w:hAnsi="Calibri" w:cs="Calibri"/>
                <w:color w:val="000000"/>
                <w:sz w:val="18"/>
                <w:szCs w:val="18"/>
              </w:rPr>
              <w:t>Induction</w:t>
            </w:r>
            <w:r>
              <w:rPr>
                <w:rFonts w:ascii="Calibri" w:eastAsia="Calibri" w:hAnsi="Calibri" w:cs="Calibri"/>
                <w:color w:val="000000"/>
                <w:sz w:val="18"/>
                <w:szCs w:val="18"/>
              </w:rPr>
              <w:t xml:space="preserve">, Fat, edible and non-edible oil extraction, Preservation of wood, Vehicles dewaxing, Underseal treatment and conservation of vehicles, Application of glues and adhesives, for which a Tier 2 methodology is provided in the 2016 EMEP/EEA Guidebook. This was first raised during the 2017 and 2018 NECD reviews. This under-estimate may have an impact on total emissions that is above the threshold of significance. The TERT notes the discussion held throughout the review with Lithuania on the difficulties with making a corrected estimate and notes that it is currently not possible for the TERT to provide a numerical emission estimates for a Tier 2 method. Lithuania has not provided a revised estimate which has been accepted by the TERT and therefore the issue will be flagged as Potential Technical </w:t>
            </w:r>
            <w:r w:rsidR="00752435">
              <w:rPr>
                <w:rFonts w:ascii="Calibri" w:eastAsia="Calibri" w:hAnsi="Calibri" w:cs="Calibri"/>
                <w:color w:val="000000"/>
                <w:sz w:val="18"/>
                <w:szCs w:val="18"/>
              </w:rPr>
              <w:t>Correction and</w:t>
            </w:r>
            <w:r>
              <w:rPr>
                <w:rFonts w:ascii="Calibri" w:eastAsia="Calibri" w:hAnsi="Calibri" w:cs="Calibri"/>
                <w:color w:val="000000"/>
                <w:sz w:val="18"/>
                <w:szCs w:val="18"/>
              </w:rPr>
              <w:t xml:space="preserve"> will be assessed as a high priority item in future reviews.    </w:t>
            </w:r>
            <w:r>
              <w:rPr>
                <w:rFonts w:ascii="Calibri" w:eastAsia="Calibri" w:hAnsi="Calibri" w:cs="Calibri"/>
                <w:color w:val="000000"/>
                <w:sz w:val="18"/>
                <w:szCs w:val="18"/>
              </w:rPr>
              <w:br/>
            </w:r>
            <w:r>
              <w:rPr>
                <w:rFonts w:ascii="Calibri" w:eastAsia="Calibri" w:hAnsi="Calibri" w:cs="Calibri"/>
                <w:b/>
                <w:color w:val="000000"/>
                <w:sz w:val="18"/>
                <w:szCs w:val="18"/>
              </w:rPr>
              <w:t xml:space="preserve">The TERT recommends that Lithuania should calculate NMVOC and </w:t>
            </w:r>
            <w:r w:rsidRPr="00616284">
              <w:rPr>
                <w:rFonts w:ascii="Calibri" w:eastAsia="Calibri" w:hAnsi="Calibri" w:cs="Calibri"/>
                <w:b/>
                <w:color w:val="000000"/>
                <w:sz w:val="18"/>
                <w:szCs w:val="18"/>
              </w:rPr>
              <w:t>PM</w:t>
            </w:r>
            <w:r w:rsidRPr="00616284">
              <w:rPr>
                <w:rFonts w:ascii="Calibri" w:eastAsia="Calibri" w:hAnsi="Calibri" w:cs="Calibri"/>
                <w:b/>
                <w:color w:val="000000"/>
                <w:sz w:val="18"/>
                <w:szCs w:val="18"/>
                <w:vertAlign w:val="subscript"/>
              </w:rPr>
              <w:t>2.5</w:t>
            </w:r>
            <w:r>
              <w:rPr>
                <w:rFonts w:ascii="Calibri" w:eastAsia="Calibri" w:hAnsi="Calibri" w:cs="Calibri"/>
                <w:b/>
                <w:color w:val="000000"/>
                <w:sz w:val="18"/>
                <w:szCs w:val="18"/>
              </w:rPr>
              <w:t xml:space="preserve"> emissions from all relevant sources in category 2D3i using a Tier 2 method for inclusion in next years’ inventory submission.</w:t>
            </w:r>
          </w:p>
        </w:tc>
      </w:tr>
      <w:tr w:rsidR="002117B2" w14:paraId="0E52E0B8"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4B1E0CC"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709EA38"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26B46C8"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887115D"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0B20B29"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962DD5D"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0D31ED7"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72109E4A"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83B8AE" w14:textId="77777777" w:rsidR="002117B2" w:rsidRDefault="00616284">
            <w:pPr>
              <w:spacing w:before="40" w:after="40"/>
              <w:ind w:left="100" w:right="100"/>
            </w:pPr>
            <w:r>
              <w:rPr>
                <w:rFonts w:ascii="Calibri" w:eastAsia="Calibri" w:hAnsi="Calibri" w:cs="Calibri"/>
                <w:color w:val="111111"/>
                <w:sz w:val="18"/>
                <w:szCs w:val="18"/>
              </w:rPr>
              <w:t>2018 (3)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50A9C8" w14:textId="77777777" w:rsidR="002117B2" w:rsidRDefault="00616284">
            <w:pPr>
              <w:spacing w:before="40" w:after="40"/>
              <w:ind w:left="100" w:right="100"/>
            </w:pPr>
            <w:r>
              <w:rPr>
                <w:rFonts w:ascii="Calibri" w:eastAsia="Calibri" w:hAnsi="Calibri" w:cs="Calibri"/>
                <w:color w:val="111111"/>
                <w:sz w:val="18"/>
                <w:szCs w:val="18"/>
              </w:rPr>
              <w:t>LT-3D-2018-0001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8E0479"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4E4CE1" w14:textId="0B951B8F" w:rsidR="002117B2" w:rsidRDefault="00616284">
            <w:pPr>
              <w:spacing w:before="40" w:after="40"/>
              <w:ind w:left="100" w:right="100"/>
            </w:pPr>
            <w:r>
              <w:rPr>
                <w:rFonts w:ascii="Calibri" w:eastAsia="Calibri" w:hAnsi="Calibri" w:cs="Calibri"/>
                <w:color w:val="111111"/>
                <w:sz w:val="18"/>
                <w:szCs w:val="18"/>
              </w:rPr>
              <w:t xml:space="preserve">3D Crop Production and Agricultural Soils,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1990-2016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E8330C" w14:textId="77777777" w:rsidR="002117B2" w:rsidRDefault="00616284">
            <w:pPr>
              <w:spacing w:before="40" w:after="40"/>
              <w:ind w:left="100" w:right="100"/>
            </w:pPr>
            <w:r>
              <w:rPr>
                <w:rFonts w:ascii="Calibri" w:eastAsia="Calibri" w:hAnsi="Calibri" w:cs="Calibri"/>
                <w:color w:val="111111"/>
                <w:sz w:val="18"/>
                <w:szCs w:val="18"/>
              </w:rPr>
              <w:t>UPTC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FB2F00" w14:textId="77777777" w:rsidR="002117B2" w:rsidRDefault="00616284">
            <w:pPr>
              <w:spacing w:before="40" w:after="40"/>
              <w:ind w:left="100" w:right="100"/>
            </w:pPr>
            <w:r>
              <w:rPr>
                <w:rFonts w:ascii="Calibri" w:eastAsia="Calibri" w:hAnsi="Calibri" w:cs="Calibri"/>
                <w:color w:val="111111"/>
                <w:sz w:val="18"/>
                <w:szCs w:val="18"/>
              </w:rPr>
              <w:t>UPTC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46CC18"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3B8ACB23"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957A8B" w14:textId="704F30CF"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The TERT notes with reference to </w:t>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emission from 3Da2a Animal </w:t>
            </w:r>
            <w:r w:rsidR="00874A03">
              <w:rPr>
                <w:rFonts w:ascii="Calibri" w:eastAsia="Calibri" w:hAnsi="Calibri" w:cs="Calibri"/>
                <w:color w:val="000000"/>
                <w:sz w:val="18"/>
                <w:szCs w:val="18"/>
              </w:rPr>
              <w:t>M</w:t>
            </w:r>
            <w:r>
              <w:rPr>
                <w:rFonts w:ascii="Calibri" w:eastAsia="Calibri" w:hAnsi="Calibri" w:cs="Calibri"/>
                <w:color w:val="000000"/>
                <w:sz w:val="18"/>
                <w:szCs w:val="18"/>
              </w:rPr>
              <w:t xml:space="preserve">anure </w:t>
            </w:r>
            <w:r w:rsidR="00874A03">
              <w:rPr>
                <w:rFonts w:ascii="Calibri" w:eastAsia="Calibri" w:hAnsi="Calibri" w:cs="Calibri"/>
                <w:color w:val="000000"/>
                <w:sz w:val="18"/>
                <w:szCs w:val="18"/>
              </w:rPr>
              <w:t>A</w:t>
            </w:r>
            <w:r>
              <w:rPr>
                <w:rFonts w:ascii="Calibri" w:eastAsia="Calibri" w:hAnsi="Calibri" w:cs="Calibri"/>
                <w:color w:val="000000"/>
                <w:sz w:val="18"/>
                <w:szCs w:val="18"/>
              </w:rPr>
              <w:t xml:space="preserve">pplied to </w:t>
            </w:r>
            <w:r w:rsidR="00874A03">
              <w:rPr>
                <w:rFonts w:ascii="Calibri" w:eastAsia="Calibri" w:hAnsi="Calibri" w:cs="Calibri"/>
                <w:color w:val="000000"/>
                <w:sz w:val="18"/>
                <w:szCs w:val="18"/>
              </w:rPr>
              <w:t>S</w:t>
            </w:r>
            <w:r>
              <w:rPr>
                <w:rFonts w:ascii="Calibri" w:eastAsia="Calibri" w:hAnsi="Calibri" w:cs="Calibri"/>
                <w:color w:val="000000"/>
                <w:sz w:val="18"/>
                <w:szCs w:val="18"/>
              </w:rPr>
              <w:t xml:space="preserve">oils and 3Da3 Urine and </w:t>
            </w:r>
            <w:r w:rsidR="00874A03">
              <w:rPr>
                <w:rFonts w:ascii="Calibri" w:eastAsia="Calibri" w:hAnsi="Calibri" w:cs="Calibri"/>
                <w:color w:val="000000"/>
                <w:sz w:val="18"/>
                <w:szCs w:val="18"/>
              </w:rPr>
              <w:t>D</w:t>
            </w:r>
            <w:r>
              <w:rPr>
                <w:rFonts w:ascii="Calibri" w:eastAsia="Calibri" w:hAnsi="Calibri" w:cs="Calibri"/>
                <w:color w:val="000000"/>
                <w:sz w:val="18"/>
                <w:szCs w:val="18"/>
              </w:rPr>
              <w:t xml:space="preserve">ung </w:t>
            </w:r>
            <w:r w:rsidR="00874A03">
              <w:rPr>
                <w:rFonts w:ascii="Calibri" w:eastAsia="Calibri" w:hAnsi="Calibri" w:cs="Calibri"/>
                <w:color w:val="000000"/>
                <w:sz w:val="18"/>
                <w:szCs w:val="18"/>
              </w:rPr>
              <w:t>D</w:t>
            </w:r>
            <w:r>
              <w:rPr>
                <w:rFonts w:ascii="Calibri" w:eastAsia="Calibri" w:hAnsi="Calibri" w:cs="Calibri"/>
                <w:color w:val="000000"/>
                <w:sz w:val="18"/>
                <w:szCs w:val="18"/>
              </w:rPr>
              <w:t xml:space="preserve">eposited by </w:t>
            </w:r>
            <w:r w:rsidR="00874A03">
              <w:rPr>
                <w:rFonts w:ascii="Calibri" w:eastAsia="Calibri" w:hAnsi="Calibri" w:cs="Calibri"/>
                <w:color w:val="000000"/>
                <w:sz w:val="18"/>
                <w:szCs w:val="18"/>
              </w:rPr>
              <w:t>G</w:t>
            </w:r>
            <w:r>
              <w:rPr>
                <w:rFonts w:ascii="Calibri" w:eastAsia="Calibri" w:hAnsi="Calibri" w:cs="Calibri"/>
                <w:color w:val="000000"/>
                <w:sz w:val="18"/>
                <w:szCs w:val="18"/>
              </w:rPr>
              <w:t xml:space="preserve">razing </w:t>
            </w:r>
            <w:r w:rsidR="00874A03">
              <w:rPr>
                <w:rFonts w:ascii="Calibri" w:eastAsia="Calibri" w:hAnsi="Calibri" w:cs="Calibri"/>
                <w:color w:val="000000"/>
                <w:sz w:val="18"/>
                <w:szCs w:val="18"/>
              </w:rPr>
              <w:t>A</w:t>
            </w:r>
            <w:r>
              <w:rPr>
                <w:rFonts w:ascii="Calibri" w:eastAsia="Calibri" w:hAnsi="Calibri" w:cs="Calibri"/>
                <w:color w:val="000000"/>
                <w:sz w:val="18"/>
                <w:szCs w:val="18"/>
              </w:rPr>
              <w:t xml:space="preserve">nimals 1990-2018 an issue in emission estimates that may relate to an over- or under-estimate of emissions, which may have an impact on total emissions that is above the threshold of significance. Lithuania has not provided a revised estimate, but refer to a revised estimate for 3B1a, 3B1b and 3B3. The TERT and Lithuania have accepted the revised estimate for 3B1a and 3B3, while the TERT do not accepted the revised estimate for 3B1b due to inconsistency in number of non-dairy cattle compared to NFR and CRF submission 2020. It is currently not possible for the TERT to provide a numerical emission and therefore the issue will be flagged as Unquantified Potential Technical </w:t>
            </w:r>
            <w:r w:rsidR="00752435">
              <w:rPr>
                <w:rFonts w:ascii="Calibri" w:eastAsia="Calibri" w:hAnsi="Calibri" w:cs="Calibri"/>
                <w:color w:val="000000"/>
                <w:sz w:val="18"/>
                <w:szCs w:val="18"/>
              </w:rPr>
              <w:t>Correction and</w:t>
            </w:r>
            <w:r>
              <w:rPr>
                <w:rFonts w:ascii="Calibri" w:eastAsia="Calibri" w:hAnsi="Calibri" w:cs="Calibri"/>
                <w:color w:val="000000"/>
                <w:sz w:val="18"/>
                <w:szCs w:val="18"/>
              </w:rPr>
              <w:t xml:space="preserve"> will be assessed as a high priority item in future reviews.    </w:t>
            </w:r>
            <w:r>
              <w:rPr>
                <w:rFonts w:ascii="Calibri" w:eastAsia="Calibri" w:hAnsi="Calibri" w:cs="Calibri"/>
                <w:color w:val="000000"/>
                <w:sz w:val="18"/>
                <w:szCs w:val="18"/>
              </w:rPr>
              <w:br/>
            </w:r>
            <w:r>
              <w:rPr>
                <w:rFonts w:ascii="Calibri" w:eastAsia="Calibri" w:hAnsi="Calibri" w:cs="Calibri"/>
                <w:b/>
                <w:color w:val="000000"/>
                <w:sz w:val="18"/>
                <w:szCs w:val="18"/>
              </w:rPr>
              <w:t xml:space="preserve">The TERT recommends that Lithuania should calculate the </w:t>
            </w:r>
            <w:r w:rsidRPr="00616284">
              <w:rPr>
                <w:rFonts w:ascii="Calibri" w:eastAsia="Calibri" w:hAnsi="Calibri" w:cs="Calibri"/>
                <w:b/>
                <w:color w:val="000000"/>
                <w:sz w:val="18"/>
                <w:szCs w:val="18"/>
              </w:rPr>
              <w:t>NH</w:t>
            </w:r>
            <w:r w:rsidRPr="00616284">
              <w:rPr>
                <w:rFonts w:ascii="Calibri" w:eastAsia="Calibri" w:hAnsi="Calibri" w:cs="Calibri"/>
                <w:b/>
                <w:color w:val="000000"/>
                <w:sz w:val="18"/>
                <w:szCs w:val="18"/>
                <w:vertAlign w:val="subscript"/>
              </w:rPr>
              <w:t>3</w:t>
            </w:r>
            <w:r>
              <w:rPr>
                <w:rFonts w:ascii="Calibri" w:eastAsia="Calibri" w:hAnsi="Calibri" w:cs="Calibri"/>
                <w:b/>
                <w:color w:val="000000"/>
                <w:sz w:val="18"/>
                <w:szCs w:val="18"/>
              </w:rPr>
              <w:t xml:space="preserve"> emissions from 3Da2a Animal manure applied to soils and 3Da3 based on a Tier 2 method and consistently with the revised estimate for 3B1a and 3B3, and a corrected calculation of 3B1b (number of animal) for inclusion in next years’ inventory submission.</w:t>
            </w:r>
          </w:p>
        </w:tc>
      </w:tr>
      <w:tr w:rsidR="002117B2" w14:paraId="38E1A579"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69FD0BD"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C17B707"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4D5759D"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C0DDB5B"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AA50B4C"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8AF4943"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79A6356"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3B78B30E"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95D485"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06C9AE" w14:textId="77777777" w:rsidR="002117B2" w:rsidRDefault="00616284">
            <w:pPr>
              <w:spacing w:before="40" w:after="40"/>
              <w:ind w:left="100" w:right="100"/>
            </w:pPr>
            <w:r>
              <w:rPr>
                <w:rFonts w:ascii="Calibri" w:eastAsia="Calibri" w:hAnsi="Calibri" w:cs="Calibri"/>
                <w:color w:val="111111"/>
                <w:sz w:val="18"/>
                <w:szCs w:val="18"/>
              </w:rPr>
              <w:t>LT-1A1b-2019-0001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741079"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A8B9E3" w14:textId="7775C252" w:rsidR="002117B2" w:rsidRDefault="00616284">
            <w:pPr>
              <w:spacing w:before="40" w:after="40"/>
              <w:ind w:left="100" w:right="100"/>
            </w:pPr>
            <w:r>
              <w:rPr>
                <w:rFonts w:ascii="Calibri" w:eastAsia="Calibri" w:hAnsi="Calibri" w:cs="Calibri"/>
                <w:color w:val="111111"/>
                <w:sz w:val="18"/>
                <w:szCs w:val="18"/>
              </w:rPr>
              <w:t xml:space="preserve">1A1b Petroleum Refining, </w:t>
            </w: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2</w:t>
            </w:r>
            <w:r>
              <w:rPr>
                <w:rFonts w:ascii="Calibri" w:eastAsia="Calibri" w:hAnsi="Calibri" w:cs="Calibri"/>
                <w:color w:val="111111"/>
                <w:sz w:val="18"/>
                <w:szCs w:val="18"/>
              </w:rPr>
              <w:t>, 2000-2016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F021B0"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49502E"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95B61F"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02814A42"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79FA3A" w14:textId="2AB47DF4"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1A1b Petroleum Refining, for </w:t>
            </w:r>
            <w:r w:rsidRPr="00616284">
              <w:rPr>
                <w:rFonts w:ascii="Calibri" w:eastAsia="Calibri" w:hAnsi="Calibri" w:cs="Calibri"/>
                <w:color w:val="000000"/>
                <w:sz w:val="18"/>
                <w:szCs w:val="18"/>
              </w:rPr>
              <w:t>SO</w:t>
            </w:r>
            <w:r w:rsidRPr="00616284">
              <w:rPr>
                <w:rFonts w:ascii="Calibri" w:eastAsia="Calibri" w:hAnsi="Calibri" w:cs="Calibri"/>
                <w:color w:val="000000"/>
                <w:sz w:val="18"/>
                <w:szCs w:val="18"/>
                <w:vertAlign w:val="subscript"/>
              </w:rPr>
              <w:t>2</w:t>
            </w:r>
            <w:r>
              <w:rPr>
                <w:rFonts w:ascii="Calibri" w:eastAsia="Calibri" w:hAnsi="Calibri" w:cs="Calibri"/>
                <w:color w:val="000000"/>
                <w:sz w:val="18"/>
                <w:szCs w:val="18"/>
              </w:rPr>
              <w:t xml:space="preserve">, in years 2000-2018 the TERT noted that there is a lack of transparency regarding recalculations. This does not relate to an over- or under-estimate of emissions. In response to a question raised during the review, Lithuania provided emission estimation data and explained that from the 2021 submission the fuel balance 'Consumption in manufacture of refined petroleum products' compiled by Statistics Lithuania will be used as activity data for 1A1b and will exclude the refinery thermal power plant from 1A1a, in correspondence with the approach in the GHG inventory.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in the 2021 IIR a detailed description of the methodology, i.e. activity data and emission factors and descriptions of any recalculations or change of methodology</w:t>
            </w:r>
          </w:p>
        </w:tc>
      </w:tr>
      <w:tr w:rsidR="002117B2" w14:paraId="59543250"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50A6885"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B58860A"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E1B28AA"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2F3E57D"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1B7BD2F"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0E18693"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6F4685B"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A238B35"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1B1D4D" w14:textId="77777777" w:rsidR="002117B2" w:rsidRDefault="00616284">
            <w:pPr>
              <w:spacing w:before="40" w:after="40"/>
              <w:ind w:left="100" w:right="100"/>
            </w:pPr>
            <w:r>
              <w:rPr>
                <w:rFonts w:ascii="Calibri" w:eastAsia="Calibri" w:hAnsi="Calibri" w:cs="Calibri"/>
                <w:color w:val="111111"/>
                <w:sz w:val="18"/>
                <w:szCs w:val="18"/>
              </w:rPr>
              <w:t>2018 (3)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3FDE93" w14:textId="77777777" w:rsidR="002117B2" w:rsidRDefault="00616284">
            <w:pPr>
              <w:spacing w:before="40" w:after="40"/>
              <w:ind w:left="100" w:right="100"/>
            </w:pPr>
            <w:r>
              <w:rPr>
                <w:rFonts w:ascii="Calibri" w:eastAsia="Calibri" w:hAnsi="Calibri" w:cs="Calibri"/>
                <w:color w:val="111111"/>
                <w:sz w:val="18"/>
                <w:szCs w:val="18"/>
              </w:rPr>
              <w:t>LT-1A2gviii-2018-0001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4A91CE"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C874F6" w14:textId="3DBE8F14" w:rsidR="002117B2" w:rsidRDefault="00616284">
            <w:pPr>
              <w:spacing w:before="40" w:after="40"/>
              <w:ind w:left="100" w:right="100"/>
            </w:pPr>
            <w:r>
              <w:rPr>
                <w:rFonts w:ascii="Calibri" w:eastAsia="Calibri" w:hAnsi="Calibri" w:cs="Calibri"/>
                <w:color w:val="111111"/>
                <w:sz w:val="18"/>
                <w:szCs w:val="18"/>
              </w:rPr>
              <w:t xml:space="preserve">1A2gviii Stationary Combustion in Manufacturing Industries and Construction: Other,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1990-201</w:t>
            </w:r>
            <w:r w:rsidR="00EB7F38">
              <w:rPr>
                <w:rFonts w:ascii="Calibri" w:eastAsia="Calibri" w:hAnsi="Calibri" w:cs="Calibri"/>
                <w:color w:val="111111"/>
                <w:sz w:val="18"/>
                <w:szCs w:val="18"/>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3BD524"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6C7C67"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ED4958"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566BA5A6"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A07313" w14:textId="63A9DC34"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1A2gviii Stationary Combustion in Manufacturing Industries and Construction: Other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for all years the TERT noted that there is a lack of transparency regarding information and explanation on the sector (i.e. the methodology used, activity data and emission factors used). Only a comment referring to the use of default 2019 EMEP/EEA Guidebook emission factors is included in the IIR (page 72 of the IIR). This does not relate to an over- or under-estimate of emissions. This was raised during the 2018 and 2019 NECD reviews. In response to a question raised during the review, Lithuania explained that the abatement efficiencies that is applied have been recalculated and provided the new abatement efficiencies.  </w:t>
            </w:r>
            <w:r>
              <w:rPr>
                <w:rFonts w:ascii="Calibri" w:eastAsia="Calibri" w:hAnsi="Calibri" w:cs="Calibri"/>
                <w:color w:val="000000"/>
                <w:sz w:val="18"/>
                <w:szCs w:val="18"/>
              </w:rPr>
              <w:br/>
            </w:r>
            <w:r>
              <w:rPr>
                <w:rFonts w:ascii="Calibri" w:eastAsia="Calibri" w:hAnsi="Calibri" w:cs="Calibri"/>
                <w:b/>
                <w:color w:val="000000"/>
                <w:sz w:val="18"/>
                <w:szCs w:val="18"/>
              </w:rPr>
              <w:t>The TERT reiterates the recommendation from the 2018 and the 2019 review to add an explanation to the IIR.</w:t>
            </w:r>
          </w:p>
        </w:tc>
      </w:tr>
      <w:tr w:rsidR="002117B2" w14:paraId="572C62B6"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ABEB3FB"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10BACDB"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7F30D06"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2477341"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A1D3BEA"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E903570"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D5EC15A"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91A1FE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D3CD79"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7E8BF3" w14:textId="77777777" w:rsidR="002117B2" w:rsidRDefault="00616284">
            <w:pPr>
              <w:spacing w:before="40" w:after="40"/>
              <w:ind w:left="100" w:right="100"/>
            </w:pPr>
            <w:r>
              <w:rPr>
                <w:rFonts w:ascii="Calibri" w:eastAsia="Calibri" w:hAnsi="Calibri" w:cs="Calibri"/>
                <w:color w:val="111111"/>
                <w:sz w:val="18"/>
                <w:szCs w:val="18"/>
              </w:rPr>
              <w:t>LT-1A3ai(ii)-2017-0001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CBBFD2"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8AAD43" w14:textId="50EC2386" w:rsidR="002117B2" w:rsidRDefault="00616284">
            <w:pPr>
              <w:spacing w:before="40" w:after="40"/>
              <w:ind w:left="100" w:right="100"/>
            </w:pPr>
            <w:r>
              <w:rPr>
                <w:rFonts w:ascii="Calibri" w:eastAsia="Calibri" w:hAnsi="Calibri" w:cs="Calibri"/>
                <w:color w:val="111111"/>
                <w:sz w:val="18"/>
                <w:szCs w:val="18"/>
              </w:rPr>
              <w:t xml:space="preserve">1A3ai(ii) International Aviation Cruise (Civil) - Memo Item, </w:t>
            </w: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2</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xml:space="preserve">, NMVOC,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1990-2018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25B23D"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33B245"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4AA7F5"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6B2BB83F"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466F61" w14:textId="77777777"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Memo-Item categories 1A3ai(ii) International Aviation Cruise (Civil) and 1A3aii(ii), IIR 2020 and NFR 2020 the TERT noted that there is a lack of transparency regarding the fact that emissions from these categories are not reported in corresponding NFR table. This does not relate to an over- or under-estimate of emissions. This was raised during the 2017, 2018 and 2019 NECD reviews. In response to a question raised during the review, Lithuania explained that these emissions will be calculated in 2021 submission using EUROCONTROL data.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calculates emissions from these categories and includes them in the next submission of 2021.</w:t>
            </w:r>
          </w:p>
        </w:tc>
      </w:tr>
      <w:tr w:rsidR="002117B2" w14:paraId="3D45EE3C"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7484B31"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B79457A"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66B5FBD"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044D0C5"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B09D9D4"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3F65FB4"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DC22D06"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19660188"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D15055"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03B33A" w14:textId="77777777" w:rsidR="002117B2" w:rsidRDefault="00616284">
            <w:pPr>
              <w:spacing w:before="40" w:after="40"/>
              <w:ind w:left="100" w:right="100"/>
            </w:pPr>
            <w:r>
              <w:rPr>
                <w:rFonts w:ascii="Calibri" w:eastAsia="Calibri" w:hAnsi="Calibri" w:cs="Calibri"/>
                <w:color w:val="111111"/>
                <w:sz w:val="18"/>
                <w:szCs w:val="18"/>
              </w:rPr>
              <w:t>LT-1A3bvi-2017-0001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FFBCEB"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FF5F29" w14:textId="55C38FD3" w:rsidR="002117B2" w:rsidRDefault="00616284">
            <w:pPr>
              <w:spacing w:before="40" w:after="40"/>
              <w:ind w:left="100" w:right="100"/>
            </w:pPr>
            <w:r>
              <w:rPr>
                <w:rFonts w:ascii="Calibri" w:eastAsia="Calibri" w:hAnsi="Calibri" w:cs="Calibri"/>
                <w:color w:val="111111"/>
                <w:sz w:val="18"/>
                <w:szCs w:val="18"/>
              </w:rPr>
              <w:t xml:space="preserve">1A3bvi Road Transport: Automobile Tyre and Brake Wear,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2000-2015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F26EED" w14:textId="77777777" w:rsidR="002117B2" w:rsidRDefault="00616284">
            <w:pPr>
              <w:spacing w:before="40" w:after="40"/>
              <w:ind w:left="100" w:right="100"/>
            </w:pPr>
            <w:r>
              <w:rPr>
                <w:rFonts w:ascii="Calibri" w:eastAsia="Calibri" w:hAnsi="Calibri" w:cs="Calibri"/>
                <w:color w:val="111111"/>
                <w:sz w:val="18"/>
                <w:szCs w:val="18"/>
              </w:rPr>
              <w:t>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965B6D"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3E62ED"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5E355A51"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55734D" w14:textId="7C553105"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1A3bvi Road Transport: Automobile Tyre and Brake Wear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emissions the TERT noted that there is a lack of transparency regarding the fact that the calculation method of these emissions is not explained properly in the IIR 2020. This does not relate to an over- or under-estimate of emissions, since the TERT used activity data from Eurostat and emission factors from the 2019 EMEP/EEA Guidebook to calculate these emissions and concluded that the difference is below the threshold of significance. This was raised during the 2017, 2018 and 2019 NECD reviews. In response to a question raised during the review, Lithuania provided a file with calculations, but information was missing, and it was not clear how these emissions were calculated.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includes in the next submission clear information on the calculation method used, as well as relevant activity data and emission factors.</w:t>
            </w:r>
          </w:p>
        </w:tc>
      </w:tr>
      <w:tr w:rsidR="002117B2" w14:paraId="3D0AF9FC"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FD6AD51"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9C3D8BD"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95E9C1B"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D97A2A9"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D47E19E"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9A75B64"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469E1E0"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28369DC1"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250772"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9B8485" w14:textId="77777777" w:rsidR="002117B2" w:rsidRDefault="00616284">
            <w:pPr>
              <w:spacing w:before="40" w:after="40"/>
              <w:ind w:left="100" w:right="100"/>
            </w:pPr>
            <w:r>
              <w:rPr>
                <w:rFonts w:ascii="Calibri" w:eastAsia="Calibri" w:hAnsi="Calibri" w:cs="Calibri"/>
                <w:color w:val="111111"/>
                <w:sz w:val="18"/>
                <w:szCs w:val="18"/>
              </w:rPr>
              <w:t>LT-1A3bvii-2017-0001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37AF92"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5731EE" w14:textId="0B80374C" w:rsidR="002117B2" w:rsidRDefault="00616284">
            <w:pPr>
              <w:spacing w:before="40" w:after="40"/>
              <w:ind w:left="100" w:right="100"/>
            </w:pPr>
            <w:r>
              <w:rPr>
                <w:rFonts w:ascii="Calibri" w:eastAsia="Calibri" w:hAnsi="Calibri" w:cs="Calibri"/>
                <w:color w:val="111111"/>
                <w:sz w:val="18"/>
                <w:szCs w:val="18"/>
              </w:rPr>
              <w:t xml:space="preserve">1A3bvii Road Transport: Automobile Road Abrasion,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1990-2015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2352A6"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268651"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FBAD5D"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3449799B"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4ECE34" w14:textId="3D58C07F"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1A3bvii Road Transport: Automobile Road Abrasion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emissions the TERT noted that there is a lack of transparency regarding the fact that the calculation method of these emissions is not explained properly in the IIR 2020. This does not relate to an over- or under-estimate of emissions, since the TERT used activity data from Eurostat and emission factors from the 2019 EMEP/EEA Guidebook to calculate these emissions and concluded that the difference is below the threshold of significance. This was raised during the 2017, 2018 and 2019 NECD reviews. In response to a question raised during the review, Lithuania provided a file with calculations, but information was missing, and it was not clear how these emissions were calculated.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includes in the next submission clear information on the calculation method used, as well as relevant activity data and emission factors.</w:t>
            </w:r>
          </w:p>
        </w:tc>
      </w:tr>
      <w:tr w:rsidR="002117B2" w14:paraId="288EDB8C"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1CB0B8D"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586C456"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E270636"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A2636D6"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71274E6"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A1B8E7F"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E366A0B"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057ED4D3"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896281"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949DC5" w14:textId="77777777" w:rsidR="002117B2" w:rsidRDefault="00616284">
            <w:pPr>
              <w:spacing w:before="40" w:after="40"/>
              <w:ind w:left="100" w:right="100"/>
            </w:pPr>
            <w:r>
              <w:rPr>
                <w:rFonts w:ascii="Calibri" w:eastAsia="Calibri" w:hAnsi="Calibri" w:cs="Calibri"/>
                <w:color w:val="111111"/>
                <w:sz w:val="18"/>
                <w:szCs w:val="18"/>
              </w:rPr>
              <w:t>LT-1A3dii-2019-0001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755D2A"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8402DA" w14:textId="1F629F1A" w:rsidR="002117B2" w:rsidRDefault="00616284">
            <w:pPr>
              <w:spacing w:before="40" w:after="40"/>
              <w:ind w:left="100" w:right="100"/>
            </w:pPr>
            <w:r>
              <w:rPr>
                <w:rFonts w:ascii="Calibri" w:eastAsia="Calibri" w:hAnsi="Calibri" w:cs="Calibri"/>
                <w:color w:val="111111"/>
                <w:sz w:val="18"/>
                <w:szCs w:val="18"/>
              </w:rPr>
              <w:t xml:space="preserve">1A3dii National Navigation (Shipping),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2000-2018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6E42EF"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0A8738"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F23242"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2ED301B1"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B75F61" w14:textId="52D0F682"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1A3dii National Navigation (Shipping), for the years 2000-2018 the TERT noted that there is a lack of transparency regarding the fact that </w:t>
            </w:r>
            <w:r w:rsidR="00271055">
              <w:rPr>
                <w:rFonts w:ascii="Calibri" w:eastAsia="Calibri" w:hAnsi="Calibri" w:cs="Calibri"/>
                <w:color w:val="000000"/>
                <w:sz w:val="18"/>
                <w:szCs w:val="18"/>
              </w:rPr>
              <w:t xml:space="preserve">the estimate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is larger than the estimate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10</w:t>
            </w:r>
            <w:r>
              <w:rPr>
                <w:rFonts w:ascii="Calibri" w:eastAsia="Calibri" w:hAnsi="Calibri" w:cs="Calibri"/>
                <w:color w:val="000000"/>
                <w:sz w:val="18"/>
                <w:szCs w:val="18"/>
              </w:rPr>
              <w:t xml:space="preserve">. This does not relate to an over- or under-estimate of emissions. In response to a question raised during the review, Lithuania explained that this issue is an error and will be corrected in submission 2021.  </w:t>
            </w:r>
            <w:r>
              <w:rPr>
                <w:rFonts w:ascii="Calibri" w:eastAsia="Calibri" w:hAnsi="Calibri" w:cs="Calibri"/>
                <w:color w:val="000000"/>
                <w:sz w:val="18"/>
                <w:szCs w:val="18"/>
              </w:rPr>
              <w:br/>
            </w:r>
            <w:r>
              <w:rPr>
                <w:rFonts w:ascii="Calibri" w:eastAsia="Calibri" w:hAnsi="Calibri" w:cs="Calibri"/>
                <w:b/>
                <w:color w:val="000000"/>
                <w:sz w:val="18"/>
                <w:szCs w:val="18"/>
              </w:rPr>
              <w:t xml:space="preserve">The TERT recommends that Lithuania corrects this issue and provide correct estimates for </w:t>
            </w:r>
            <w:r w:rsidRPr="00616284">
              <w:rPr>
                <w:rFonts w:ascii="Calibri" w:eastAsia="Calibri" w:hAnsi="Calibri" w:cs="Calibri"/>
                <w:b/>
                <w:color w:val="000000"/>
                <w:sz w:val="18"/>
                <w:szCs w:val="18"/>
              </w:rPr>
              <w:t>PM</w:t>
            </w:r>
            <w:r w:rsidRPr="00616284">
              <w:rPr>
                <w:rFonts w:ascii="Calibri" w:eastAsia="Calibri" w:hAnsi="Calibri" w:cs="Calibri"/>
                <w:b/>
                <w:color w:val="000000"/>
                <w:sz w:val="18"/>
                <w:szCs w:val="18"/>
                <w:vertAlign w:val="subscript"/>
              </w:rPr>
              <w:t>2.5</w:t>
            </w:r>
            <w:r>
              <w:rPr>
                <w:rFonts w:ascii="Calibri" w:eastAsia="Calibri" w:hAnsi="Calibri" w:cs="Calibri"/>
                <w:b/>
                <w:color w:val="000000"/>
                <w:sz w:val="18"/>
                <w:szCs w:val="18"/>
              </w:rPr>
              <w:t xml:space="preserve"> and/or </w:t>
            </w:r>
            <w:r w:rsidRPr="00616284">
              <w:rPr>
                <w:rFonts w:ascii="Calibri" w:eastAsia="Calibri" w:hAnsi="Calibri" w:cs="Calibri"/>
                <w:b/>
                <w:color w:val="000000"/>
                <w:sz w:val="18"/>
                <w:szCs w:val="18"/>
              </w:rPr>
              <w:t>PM</w:t>
            </w:r>
            <w:r w:rsidRPr="00616284">
              <w:rPr>
                <w:rFonts w:ascii="Calibri" w:eastAsia="Calibri" w:hAnsi="Calibri" w:cs="Calibri"/>
                <w:b/>
                <w:color w:val="000000"/>
                <w:sz w:val="18"/>
                <w:szCs w:val="18"/>
                <w:vertAlign w:val="subscript"/>
              </w:rPr>
              <w:t>10</w:t>
            </w:r>
            <w:r>
              <w:rPr>
                <w:rFonts w:ascii="Calibri" w:eastAsia="Calibri" w:hAnsi="Calibri" w:cs="Calibri"/>
                <w:b/>
                <w:color w:val="000000"/>
                <w:sz w:val="18"/>
                <w:szCs w:val="18"/>
              </w:rPr>
              <w:t xml:space="preserve"> emissions in the next submission of 2021.</w:t>
            </w:r>
          </w:p>
        </w:tc>
      </w:tr>
      <w:tr w:rsidR="002117B2" w14:paraId="3302F5F7"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FF49F51"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690D339"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D0401A8"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DC05C9B"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7AD603A"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1517A91"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DD8034A"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19C710B1"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A2D488"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C02A0A" w14:textId="77777777" w:rsidR="002117B2" w:rsidRDefault="00616284">
            <w:pPr>
              <w:spacing w:before="40" w:after="40"/>
              <w:ind w:left="100" w:right="100"/>
            </w:pPr>
            <w:r>
              <w:rPr>
                <w:rFonts w:ascii="Calibri" w:eastAsia="Calibri" w:hAnsi="Calibri" w:cs="Calibri"/>
                <w:color w:val="111111"/>
                <w:sz w:val="18"/>
                <w:szCs w:val="18"/>
              </w:rPr>
              <w:t>LT-1A4ciii-2017-0001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19AA29"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A1A949" w14:textId="686D531A" w:rsidR="002117B2" w:rsidRDefault="00616284">
            <w:pPr>
              <w:spacing w:before="40" w:after="40"/>
              <w:ind w:left="100" w:right="100"/>
            </w:pPr>
            <w:r>
              <w:rPr>
                <w:rFonts w:ascii="Calibri" w:eastAsia="Calibri" w:hAnsi="Calibri" w:cs="Calibri"/>
                <w:color w:val="111111"/>
                <w:sz w:val="18"/>
                <w:szCs w:val="18"/>
              </w:rPr>
              <w:t xml:space="preserve">1A4ciii Agriculture/Forestry/Fishing: National Fishing,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1990-2015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E80674"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4C34B5"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8ECFCE"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71F88690"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D81DB6" w14:textId="409A43E5"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w:t>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emissions from category 1A4ciii National Fishing the TERT noted that there is a lack of transparency regarding the fact that these emissions are included in the NFR 2020 table, as recommended in previous reviews, but no documentation of recalculations was included in IIR 2020. This does not relate to an over- or under-estimate of emissions. This was raised during the 2017, 2018 and 2019 NECD review. In response to a question raised during the review, Lithuania explained that </w:t>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emissions from category 1A4ciii were calculated using emission factors included in EEA Guidebook chapter (namely 1A3d - Navigation Shipping).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includes information on the calculation method of these emissions in IIR 2021.</w:t>
            </w:r>
          </w:p>
        </w:tc>
      </w:tr>
      <w:tr w:rsidR="002117B2" w14:paraId="1EAD7976"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64F2C09"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6593A80"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8260330"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555153D"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C1CA5F8"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217E8A5"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A44DBB4"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0651B605"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195B05"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C5764D" w14:textId="77777777" w:rsidR="002117B2" w:rsidRDefault="00616284">
            <w:pPr>
              <w:spacing w:before="40" w:after="40"/>
              <w:ind w:left="100" w:right="100"/>
            </w:pPr>
            <w:r>
              <w:rPr>
                <w:rFonts w:ascii="Calibri" w:eastAsia="Calibri" w:hAnsi="Calibri" w:cs="Calibri"/>
                <w:color w:val="111111"/>
                <w:sz w:val="18"/>
                <w:szCs w:val="18"/>
              </w:rPr>
              <w:t>LT-1A4ciii-2020-0001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585D9D"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0C17E4" w14:textId="08414809" w:rsidR="002117B2" w:rsidRDefault="00616284">
            <w:pPr>
              <w:spacing w:before="40" w:after="40"/>
              <w:ind w:left="100" w:right="100"/>
            </w:pPr>
            <w:r>
              <w:rPr>
                <w:rFonts w:ascii="Calibri" w:eastAsia="Calibri" w:hAnsi="Calibri" w:cs="Calibri"/>
                <w:color w:val="111111"/>
                <w:sz w:val="18"/>
                <w:szCs w:val="18"/>
              </w:rPr>
              <w:t xml:space="preserve">1A4ciii Agriculture/Forestry/Fishing: National Fishing,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2005, 2010, 2015, 2016, 2017, 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FD6717"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6887FE"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35DC50"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7EF4FA0C"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C07FD6" w14:textId="72F9D5B0"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1A4ciii National </w:t>
            </w:r>
            <w:r w:rsidR="00874A03">
              <w:rPr>
                <w:rFonts w:ascii="Calibri" w:eastAsia="Calibri" w:hAnsi="Calibri" w:cs="Calibri"/>
                <w:color w:val="000000"/>
                <w:sz w:val="18"/>
                <w:szCs w:val="18"/>
              </w:rPr>
              <w:t>F</w:t>
            </w:r>
            <w:r>
              <w:rPr>
                <w:rFonts w:ascii="Calibri" w:eastAsia="Calibri" w:hAnsi="Calibri" w:cs="Calibri"/>
                <w:color w:val="000000"/>
                <w:sz w:val="18"/>
                <w:szCs w:val="18"/>
              </w:rPr>
              <w:t xml:space="preserve">ishing for the years 2005, 2010, 2015-2018 the TERT noted that there is a lack of transparency regarding the fact that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estimate is larger than the estimate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10</w:t>
            </w:r>
            <w:r>
              <w:rPr>
                <w:rFonts w:ascii="Calibri" w:eastAsia="Calibri" w:hAnsi="Calibri" w:cs="Calibri"/>
                <w:color w:val="000000"/>
                <w:sz w:val="18"/>
                <w:szCs w:val="18"/>
              </w:rPr>
              <w:t xml:space="preserve">. This issue is below the threshold of significance. In response to a question raised during the review, Lithuania explained that this issue is an error and will be corrected in submission 2021.  </w:t>
            </w:r>
            <w:r>
              <w:rPr>
                <w:rFonts w:ascii="Calibri" w:eastAsia="Calibri" w:hAnsi="Calibri" w:cs="Calibri"/>
                <w:color w:val="000000"/>
                <w:sz w:val="18"/>
                <w:szCs w:val="18"/>
              </w:rPr>
              <w:br/>
            </w:r>
            <w:r>
              <w:rPr>
                <w:rFonts w:ascii="Calibri" w:eastAsia="Calibri" w:hAnsi="Calibri" w:cs="Calibri"/>
                <w:b/>
                <w:color w:val="000000"/>
                <w:sz w:val="18"/>
                <w:szCs w:val="18"/>
              </w:rPr>
              <w:t xml:space="preserve">The TERT recommends that Lithuania corrects this issue and provide correct estimates for </w:t>
            </w:r>
            <w:r w:rsidRPr="00616284">
              <w:rPr>
                <w:rFonts w:ascii="Calibri" w:eastAsia="Calibri" w:hAnsi="Calibri" w:cs="Calibri"/>
                <w:b/>
                <w:color w:val="000000"/>
                <w:sz w:val="18"/>
                <w:szCs w:val="18"/>
              </w:rPr>
              <w:t>PM</w:t>
            </w:r>
            <w:r w:rsidRPr="00616284">
              <w:rPr>
                <w:rFonts w:ascii="Calibri" w:eastAsia="Calibri" w:hAnsi="Calibri" w:cs="Calibri"/>
                <w:b/>
                <w:color w:val="000000"/>
                <w:sz w:val="18"/>
                <w:szCs w:val="18"/>
                <w:vertAlign w:val="subscript"/>
              </w:rPr>
              <w:t>2.5</w:t>
            </w:r>
            <w:r>
              <w:rPr>
                <w:rFonts w:ascii="Calibri" w:eastAsia="Calibri" w:hAnsi="Calibri" w:cs="Calibri"/>
                <w:b/>
                <w:color w:val="000000"/>
                <w:sz w:val="18"/>
                <w:szCs w:val="18"/>
              </w:rPr>
              <w:t xml:space="preserve"> and/or </w:t>
            </w:r>
            <w:r w:rsidRPr="00616284">
              <w:rPr>
                <w:rFonts w:ascii="Calibri" w:eastAsia="Calibri" w:hAnsi="Calibri" w:cs="Calibri"/>
                <w:b/>
                <w:color w:val="000000"/>
                <w:sz w:val="18"/>
                <w:szCs w:val="18"/>
              </w:rPr>
              <w:t>PM</w:t>
            </w:r>
            <w:r w:rsidRPr="00616284">
              <w:rPr>
                <w:rFonts w:ascii="Calibri" w:eastAsia="Calibri" w:hAnsi="Calibri" w:cs="Calibri"/>
                <w:b/>
                <w:color w:val="000000"/>
                <w:sz w:val="18"/>
                <w:szCs w:val="18"/>
                <w:vertAlign w:val="subscript"/>
              </w:rPr>
              <w:t>10</w:t>
            </w:r>
            <w:r>
              <w:rPr>
                <w:rFonts w:ascii="Calibri" w:eastAsia="Calibri" w:hAnsi="Calibri" w:cs="Calibri"/>
                <w:b/>
                <w:color w:val="000000"/>
                <w:sz w:val="18"/>
                <w:szCs w:val="18"/>
              </w:rPr>
              <w:t xml:space="preserve"> emissions in the next submission of 2021.</w:t>
            </w:r>
          </w:p>
        </w:tc>
      </w:tr>
      <w:tr w:rsidR="002117B2" w14:paraId="13D5B387"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7299F3D"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2CEAAD2"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D7C14F4"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C3CA63C"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DC24495"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0CDDA7A"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44345B3"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01C49D18"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55112C"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807144" w14:textId="77777777" w:rsidR="002117B2" w:rsidRDefault="00616284">
            <w:pPr>
              <w:spacing w:before="40" w:after="40"/>
              <w:ind w:left="100" w:right="100"/>
            </w:pPr>
            <w:r>
              <w:rPr>
                <w:rFonts w:ascii="Calibri" w:eastAsia="Calibri" w:hAnsi="Calibri" w:cs="Calibri"/>
                <w:color w:val="111111"/>
                <w:sz w:val="18"/>
                <w:szCs w:val="18"/>
              </w:rPr>
              <w:t>LT-1B1a-2017-0001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8624F4"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448A05" w14:textId="5285BFAD" w:rsidR="002117B2" w:rsidRDefault="00616284">
            <w:pPr>
              <w:spacing w:before="40" w:after="40"/>
              <w:ind w:left="100" w:right="100"/>
            </w:pPr>
            <w:r>
              <w:rPr>
                <w:rFonts w:ascii="Calibri" w:eastAsia="Calibri" w:hAnsi="Calibri" w:cs="Calibri"/>
                <w:color w:val="111111"/>
                <w:sz w:val="18"/>
                <w:szCs w:val="18"/>
              </w:rPr>
              <w:t xml:space="preserve">1B1a Fugitive Emission from Solid Fuels: Coal Mining and Handling,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1990-2018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6FB271"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1D5D9B"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9D0B3A"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0B399DB4"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CB6048" w14:textId="445F0E55"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1B1a Fugitive Emission from Solid Fuels: Coal Mining and Handling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for all years the TERT noted that there is a lack of transparency regarding the activity data used. This does not relate to an over- or under-estimate of emissions. This was raised during the 2017, 2018 and 2019 NECD reviews. In response to a question raised during the review, Lithuania explained that the mass of coal was taken from fuel balance, and that the activity data for emission estimations (ha coal piles) was estimated, based on an expert judgement that coal is stored in 3 meter height heaps.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includes this information about the activity data in the IIR in the 2021 submission.</w:t>
            </w:r>
          </w:p>
        </w:tc>
      </w:tr>
      <w:tr w:rsidR="002117B2" w14:paraId="3C90E0C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C63AA07"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67EABC1"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48FE374"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F15B8E6"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F632EA3"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B01104F"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2DB9286"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46FE299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0BA0FD"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2BD5F6" w14:textId="77777777" w:rsidR="002117B2" w:rsidRDefault="00616284">
            <w:pPr>
              <w:spacing w:before="40" w:after="40"/>
              <w:ind w:left="100" w:right="100"/>
            </w:pPr>
            <w:r>
              <w:rPr>
                <w:rFonts w:ascii="Calibri" w:eastAsia="Calibri" w:hAnsi="Calibri" w:cs="Calibri"/>
                <w:color w:val="111111"/>
                <w:sz w:val="18"/>
                <w:szCs w:val="18"/>
              </w:rPr>
              <w:t>LT-2A1-2020-0001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BC2638"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1302BE" w14:textId="0E5C58C2" w:rsidR="002117B2" w:rsidRDefault="00616284">
            <w:pPr>
              <w:spacing w:before="40" w:after="40"/>
              <w:ind w:left="100" w:right="100"/>
            </w:pPr>
            <w:r>
              <w:rPr>
                <w:rFonts w:ascii="Calibri" w:eastAsia="Calibri" w:hAnsi="Calibri" w:cs="Calibri"/>
                <w:color w:val="111111"/>
                <w:sz w:val="18"/>
                <w:szCs w:val="18"/>
              </w:rPr>
              <w:t xml:space="preserve">2A1 Cement Production,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2005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5D090A"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30B28F"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3EB6F7"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223C4DAC"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8DE94F" w14:textId="358DB4DD"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2A1 Cement Production,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emissions, for the year 2005 the TERT notes with reference to Lithuania 2020 IIR, section 4.3, that a Tier 1 method is used for a key category. In response to a question raised during the review Lithuania answered that there was a mistake in the IIR and that a Tier 3 method is used since 2000 (and not since 2006).  </w:t>
            </w:r>
            <w:r>
              <w:rPr>
                <w:rFonts w:ascii="Calibri" w:eastAsia="Calibri" w:hAnsi="Calibri" w:cs="Calibri"/>
                <w:color w:val="000000"/>
                <w:sz w:val="18"/>
                <w:szCs w:val="18"/>
              </w:rPr>
              <w:br/>
            </w:r>
            <w:r w:rsidR="008D3488">
              <w:rPr>
                <w:rFonts w:ascii="Calibri" w:eastAsia="Calibri" w:hAnsi="Calibri" w:cs="Calibri"/>
                <w:b/>
                <w:color w:val="000000"/>
                <w:sz w:val="18"/>
                <w:szCs w:val="18"/>
              </w:rPr>
              <w:t>The</w:t>
            </w:r>
            <w:r>
              <w:rPr>
                <w:rFonts w:ascii="Calibri" w:eastAsia="Calibri" w:hAnsi="Calibri" w:cs="Calibri"/>
                <w:b/>
                <w:color w:val="000000"/>
                <w:sz w:val="18"/>
                <w:szCs w:val="18"/>
              </w:rPr>
              <w:t xml:space="preserve"> TERT recommends that Lithuania corrects the IIR for the next submission.</w:t>
            </w:r>
          </w:p>
        </w:tc>
      </w:tr>
      <w:tr w:rsidR="002117B2" w14:paraId="5308BF8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E7C8E61"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B6F29B6"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29FD201"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848549F"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9E30C96"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666B280"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CDADACD"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41551B75"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A80B04"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BB46AE" w14:textId="77777777" w:rsidR="002117B2" w:rsidRDefault="00616284">
            <w:pPr>
              <w:spacing w:before="40" w:after="40"/>
              <w:ind w:left="100" w:right="100"/>
            </w:pPr>
            <w:r>
              <w:rPr>
                <w:rFonts w:ascii="Calibri" w:eastAsia="Calibri" w:hAnsi="Calibri" w:cs="Calibri"/>
                <w:color w:val="111111"/>
                <w:sz w:val="18"/>
                <w:szCs w:val="18"/>
              </w:rPr>
              <w:t>LT-2A2-2017-0001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938430"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42EC64" w14:textId="0E6BA9BD" w:rsidR="002117B2" w:rsidRDefault="00616284">
            <w:pPr>
              <w:spacing w:before="40" w:after="40"/>
              <w:ind w:left="100" w:right="100"/>
            </w:pPr>
            <w:r>
              <w:rPr>
                <w:rFonts w:ascii="Calibri" w:eastAsia="Calibri" w:hAnsi="Calibri" w:cs="Calibri"/>
                <w:color w:val="111111"/>
                <w:sz w:val="18"/>
                <w:szCs w:val="18"/>
              </w:rPr>
              <w:t xml:space="preserve">2A2 Lime Production,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1990-2015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73B90E"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8F2A52"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577CA2"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3D7F2DFF"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0B31B7" w14:textId="75D0A7E2"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2A2 Lime Production,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emissions, for the entire time series the TERT noted that there is a lack of transparency regarding the justification for use of the Tier 2 with abatement methodology. This does not relate to an over- or under-estimate of emissions. This was raised during the 2017, 2018 and 2019 NECD reviews. In response to a question raised during the review, Lithuania explained that further investigations will be made on the data from the operator and that the IIR chapter will be rewritten in 2021 submission.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justify in the 2021 IIR the use of the Tier 2 with abatement EF, and update the Tier used in the 2A2 IIR chapter.</w:t>
            </w:r>
          </w:p>
        </w:tc>
      </w:tr>
      <w:tr w:rsidR="002117B2" w14:paraId="134AC1D7"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314547F"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DFA6334"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9BC9E48"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410E235"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6C2F1FB"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FCA0539"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43729C8"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7657E222"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FB02F6"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AD777F" w14:textId="77777777" w:rsidR="002117B2" w:rsidRDefault="00616284">
            <w:pPr>
              <w:spacing w:before="40" w:after="40"/>
              <w:ind w:left="100" w:right="100"/>
            </w:pPr>
            <w:r>
              <w:rPr>
                <w:rFonts w:ascii="Calibri" w:eastAsia="Calibri" w:hAnsi="Calibri" w:cs="Calibri"/>
                <w:color w:val="111111"/>
                <w:sz w:val="18"/>
                <w:szCs w:val="18"/>
              </w:rPr>
              <w:t>LT-2A3-2017-0001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CE4511"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3C4F75" w14:textId="13CCD71F" w:rsidR="002117B2" w:rsidRDefault="00616284">
            <w:pPr>
              <w:spacing w:before="40" w:after="40"/>
              <w:ind w:left="100" w:right="100"/>
            </w:pPr>
            <w:r>
              <w:rPr>
                <w:rFonts w:ascii="Calibri" w:eastAsia="Calibri" w:hAnsi="Calibri" w:cs="Calibri"/>
                <w:color w:val="111111"/>
                <w:sz w:val="18"/>
                <w:szCs w:val="18"/>
              </w:rPr>
              <w:t xml:space="preserve">2A3 Glass Production,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1990-2015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C0EA69"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ED8CC0"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3D439F"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0A280E75"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8B2C1D" w14:textId="35E76ADF"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2A3 Glass Production,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emissions, for the entire time series the TERT noted that there is a lack of transparency on the source for the activity data and the Tier method used in the 2020 IIR, and that recalculation has been made for the year 2017 without justification. This was raised during the 2017, 2018 and 2019 NECD reviews. In response to a question raised during the review Lithuania Tier 2 will be implemented in 2021 submission. The TERT noted that the issue is below the threshold of significance for a technical correction.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improves the description of the method and Tier used.</w:t>
            </w:r>
          </w:p>
        </w:tc>
      </w:tr>
      <w:tr w:rsidR="002117B2" w14:paraId="7A7C37A9"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DBF61A4"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211A0D3"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953AD19"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A246809"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1B7CD7A"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352A19A"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40E7A72"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26DA90B2"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703CD8"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DAD40F" w14:textId="77777777" w:rsidR="002117B2" w:rsidRDefault="00616284">
            <w:pPr>
              <w:spacing w:before="40" w:after="40"/>
              <w:ind w:left="100" w:right="100"/>
            </w:pPr>
            <w:r>
              <w:rPr>
                <w:rFonts w:ascii="Calibri" w:eastAsia="Calibri" w:hAnsi="Calibri" w:cs="Calibri"/>
                <w:color w:val="111111"/>
                <w:sz w:val="18"/>
                <w:szCs w:val="18"/>
              </w:rPr>
              <w:t>LT-2B1-2017-0001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05EFA7"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C7E051" w14:textId="77777777" w:rsidR="002117B2" w:rsidRDefault="00616284">
            <w:pPr>
              <w:spacing w:before="40" w:after="40"/>
              <w:ind w:left="100" w:right="100"/>
            </w:pPr>
            <w:r>
              <w:rPr>
                <w:rFonts w:ascii="Calibri" w:eastAsia="Calibri" w:hAnsi="Calibri" w:cs="Calibri"/>
                <w:color w:val="111111"/>
                <w:sz w:val="18"/>
                <w:szCs w:val="18"/>
              </w:rPr>
              <w:t>2B1 Ammonia Production, NMVOC, 2005-2018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F546A3"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A3B26E"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011049"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20964F37"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EDBDC7" w14:textId="77777777"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2B1 Ammonia Production, the TERT notes that the recommendation made during the 2019 NECD review has not been implemented yet according to the Lithuanian 2020 IIR. This was raised during the 2017, 2018 and 2019 NECD reviews. The TERT noted that the issue is below the threshold of significance for a technical correction. The 2020 review noted that the IIR states that the issue has been included in the list of improvements and that the recommendation will be addressed in the 2021 submission.  </w:t>
            </w:r>
            <w:r>
              <w:rPr>
                <w:rFonts w:ascii="Calibri" w:eastAsia="Calibri" w:hAnsi="Calibri" w:cs="Calibri"/>
                <w:color w:val="000000"/>
                <w:sz w:val="18"/>
                <w:szCs w:val="18"/>
              </w:rPr>
              <w:br/>
            </w:r>
            <w:r>
              <w:rPr>
                <w:rFonts w:ascii="Calibri" w:eastAsia="Calibri" w:hAnsi="Calibri" w:cs="Calibri"/>
                <w:b/>
                <w:color w:val="000000"/>
                <w:sz w:val="18"/>
                <w:szCs w:val="18"/>
              </w:rPr>
              <w:t>The TERT reiterates the recommendation that Lithuania resolve the time series inconsistency for NMVOC estimates in its 2021 NFR.</w:t>
            </w:r>
          </w:p>
        </w:tc>
      </w:tr>
      <w:tr w:rsidR="002117B2" w14:paraId="769214C7"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169B53E"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F5AD136"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A18B53F"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0EE074F"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69B17E0"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6EFAC5D"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3B44A45"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46AB996E"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33FCB8" w14:textId="77777777" w:rsidR="002117B2" w:rsidRDefault="00616284">
            <w:pPr>
              <w:spacing w:before="40" w:after="40"/>
              <w:ind w:left="100" w:right="100"/>
            </w:pPr>
            <w:r>
              <w:rPr>
                <w:rFonts w:ascii="Calibri" w:eastAsia="Calibri" w:hAnsi="Calibri" w:cs="Calibri"/>
                <w:color w:val="111111"/>
                <w:sz w:val="18"/>
                <w:szCs w:val="18"/>
              </w:rPr>
              <w:t>2018 (3)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73045F" w14:textId="77777777" w:rsidR="002117B2" w:rsidRDefault="00616284">
            <w:pPr>
              <w:spacing w:before="40" w:after="40"/>
              <w:ind w:left="100" w:right="100"/>
            </w:pPr>
            <w:r>
              <w:rPr>
                <w:rFonts w:ascii="Calibri" w:eastAsia="Calibri" w:hAnsi="Calibri" w:cs="Calibri"/>
                <w:color w:val="111111"/>
                <w:sz w:val="18"/>
                <w:szCs w:val="18"/>
              </w:rPr>
              <w:t>LT-2-2018-0002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7B8F13"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2C8838" w14:textId="77777777" w:rsidR="002117B2" w:rsidRDefault="00616284">
            <w:pPr>
              <w:spacing w:before="40" w:after="40"/>
              <w:ind w:left="100" w:right="100"/>
            </w:pPr>
            <w:r>
              <w:rPr>
                <w:rFonts w:ascii="Calibri" w:eastAsia="Calibri" w:hAnsi="Calibri" w:cs="Calibri"/>
                <w:color w:val="111111"/>
                <w:sz w:val="18"/>
                <w:szCs w:val="18"/>
              </w:rPr>
              <w:t>2B10a Chemical Industry: Other, NMVOC, 2005-2017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72AEA6"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A2FC22"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AF786B"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249FDAF2"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29F4C4" w14:textId="77777777"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2B10a Chemical Industry: Other, for NMVOC emissions, for the years 2005-2017, the TERT noted there is no information regarding the methodology used to estimate NMVOC emissions from the acetate yarn production according to the IIR, and that NMVOC are reported 'NE' before 2005. This was raised during the 2018 and 2019 NECD reviews. In response to a question raised during the review Lithuania answered that a request will be sent to the company on a methodology in 2020. The TERT noted that the issue is related to non-mandatory years.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improves the description of the NMVOC estimates from the acetate yarn production in its 2021 IIR and estimates emissions for years 1990-2004 in its 2021 NFR.</w:t>
            </w:r>
          </w:p>
        </w:tc>
      </w:tr>
      <w:tr w:rsidR="002117B2" w14:paraId="5CBFEE00"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39F444B"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00BA493"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9B55F23"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E0FA359"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8FA5ACF"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77A89FF"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30CCA76"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4AA975C"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1A6DBC"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F0A92C" w14:textId="77777777" w:rsidR="002117B2" w:rsidRDefault="00616284">
            <w:pPr>
              <w:spacing w:before="40" w:after="40"/>
              <w:ind w:left="100" w:right="100"/>
            </w:pPr>
            <w:r>
              <w:rPr>
                <w:rFonts w:ascii="Calibri" w:eastAsia="Calibri" w:hAnsi="Calibri" w:cs="Calibri"/>
                <w:color w:val="111111"/>
                <w:sz w:val="18"/>
                <w:szCs w:val="18"/>
              </w:rPr>
              <w:t>LT-2D3e-2017-0001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97020F"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36C3B4" w14:textId="77777777" w:rsidR="002117B2" w:rsidRDefault="00616284">
            <w:pPr>
              <w:spacing w:before="40" w:after="40"/>
              <w:ind w:left="100" w:right="100"/>
            </w:pPr>
            <w:r>
              <w:rPr>
                <w:rFonts w:ascii="Calibri" w:eastAsia="Calibri" w:hAnsi="Calibri" w:cs="Calibri"/>
                <w:color w:val="111111"/>
                <w:sz w:val="18"/>
                <w:szCs w:val="18"/>
              </w:rPr>
              <w:t>2D3e Degreasing, NMVOC, 2005, 2010, 2015, 2016, 2017, 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FEAA75"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DE0AB7"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4E01DE"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0E728A38"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7D8C0B" w14:textId="77777777"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2D3e Degreasing, for NMVOC emissions, for the years 2005, 2010, 2015-2018, the TERT noted that there is a lack of transparency regarding the new methodology applied and the source of the EF used for NMVOC estimates. This does not relate to an over- or under-estimate of emissions. This was raised during the 2017, 2018 and 2019 NECD reviews. In response to a question raised during the review, Lithuania explained that from 2002 data regarding solvent use for degreasing in point sources is collected into Product Register database in EPA, and used a Tier 2 method integrating pollution abatement technologies, based on the efficiency and implementation of expert-based technologies through time.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improves the IIR description regarding the methodology applied and the Tier used for NMVOC estimates in its 2021 IIR.</w:t>
            </w:r>
          </w:p>
        </w:tc>
      </w:tr>
      <w:tr w:rsidR="002117B2" w14:paraId="5E38EC1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B2D4283"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25D6FF5"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59CF814"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1E5C44B"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6A877D2"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8096F75"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D05AFDF"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13BE7EDE"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C5B506"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BE8763" w14:textId="77777777" w:rsidR="002117B2" w:rsidRDefault="00616284">
            <w:pPr>
              <w:spacing w:before="40" w:after="40"/>
              <w:ind w:left="100" w:right="100"/>
            </w:pPr>
            <w:r>
              <w:rPr>
                <w:rFonts w:ascii="Calibri" w:eastAsia="Calibri" w:hAnsi="Calibri" w:cs="Calibri"/>
                <w:color w:val="111111"/>
                <w:sz w:val="18"/>
                <w:szCs w:val="18"/>
              </w:rPr>
              <w:t>LT-2D3f-2017-0001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5CC37F"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C4B382" w14:textId="2C037554" w:rsidR="002117B2" w:rsidRDefault="00616284">
            <w:pPr>
              <w:spacing w:before="40" w:after="40"/>
              <w:ind w:left="100" w:right="100"/>
            </w:pPr>
            <w:r>
              <w:rPr>
                <w:rFonts w:ascii="Calibri" w:eastAsia="Calibri" w:hAnsi="Calibri" w:cs="Calibri"/>
                <w:color w:val="111111"/>
                <w:sz w:val="18"/>
                <w:szCs w:val="18"/>
              </w:rPr>
              <w:t>2D3f Dry Cleaning, NMVOC, 1990-201</w:t>
            </w:r>
            <w:r w:rsidR="00EB7F38">
              <w:rPr>
                <w:rFonts w:ascii="Calibri" w:eastAsia="Calibri" w:hAnsi="Calibri" w:cs="Calibri"/>
                <w:color w:val="111111"/>
                <w:sz w:val="18"/>
                <w:szCs w:val="18"/>
              </w:rPr>
              <w:t>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2749EF"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4C2926"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D349AF"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75BDE5AE"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15CF49" w14:textId="77777777"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2D3f Dry Cleaning, for NMVOC emissions, for the years 1990-2017, the TERT noted that there is a lack of transparency regarding the methodology used, the Tier applied in the 2020 submission, the EFs used, and the recalculations made. This was raised during the 2017, 2018 and 2019 NECD reviews. In response to a question raised during the review Lithuania provided details on the knowledge of the sector, the activity data and abatement technologies, and Tiers applied. The TERT noted that the issue is below the threshold of significance for a technical correction.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these details on the methodology used, the Tier applied, the EFs used through years, and the recalculations made between two inventory submissions must be clearly and fully included in the IIR for the next submission.</w:t>
            </w:r>
          </w:p>
        </w:tc>
      </w:tr>
      <w:tr w:rsidR="002117B2" w14:paraId="64C6937A"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1212CF7"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0C6B0CF"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179CE11"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8E325FC"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D351D26"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9AC042A"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7286C10"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EE53C3B"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149E4A"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095718" w14:textId="77777777" w:rsidR="002117B2" w:rsidRDefault="00616284">
            <w:pPr>
              <w:spacing w:before="40" w:after="40"/>
              <w:ind w:left="100" w:right="100"/>
            </w:pPr>
            <w:r>
              <w:rPr>
                <w:rFonts w:ascii="Calibri" w:eastAsia="Calibri" w:hAnsi="Calibri" w:cs="Calibri"/>
                <w:color w:val="111111"/>
                <w:sz w:val="18"/>
                <w:szCs w:val="18"/>
              </w:rPr>
              <w:t>LT-2D3g-2017-0001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5F283C"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974AA7" w14:textId="77777777" w:rsidR="002117B2" w:rsidRDefault="00616284">
            <w:pPr>
              <w:spacing w:before="40" w:after="40"/>
              <w:ind w:left="100" w:right="100"/>
            </w:pPr>
            <w:r>
              <w:rPr>
                <w:rFonts w:ascii="Calibri" w:eastAsia="Calibri" w:hAnsi="Calibri" w:cs="Calibri"/>
                <w:color w:val="111111"/>
                <w:sz w:val="18"/>
                <w:szCs w:val="18"/>
              </w:rPr>
              <w:t>2D3g Chemical Products, NMVOC, 1990-2018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17E619"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E3299F"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C078C1"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438E52A7"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44A582" w14:textId="732BFDDB"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2D3g Chemical </w:t>
            </w:r>
            <w:r w:rsidR="00874A03">
              <w:rPr>
                <w:rFonts w:ascii="Calibri" w:eastAsia="Calibri" w:hAnsi="Calibri" w:cs="Calibri"/>
                <w:color w:val="000000"/>
                <w:sz w:val="18"/>
                <w:szCs w:val="18"/>
              </w:rPr>
              <w:t>P</w:t>
            </w:r>
            <w:r>
              <w:rPr>
                <w:rFonts w:ascii="Calibri" w:eastAsia="Calibri" w:hAnsi="Calibri" w:cs="Calibri"/>
                <w:color w:val="000000"/>
                <w:sz w:val="18"/>
                <w:szCs w:val="18"/>
              </w:rPr>
              <w:t xml:space="preserve">roducts, for NMVOC emissions, for the entire time series, the TERT noted that there is a lack of transparency regarding the scope, the methodology, the Tier and the EF used for NMVOC estimates (section 4.24 of the IIR). This does not relate to an over- or under-estimate of emissions. This was raised during the 2017, 2018 and 2019 NECD reviews. In response to a question raised during the review, Lithuania explained that activity data from 2005 became available by Statistics Lithuania for processing, and that NMVOC Tier 2 EF for asphalt blowing, paint, ink, glues, shoes were applied with abatement provided in 2019 EMEP/EEA Guidebook. Regarding the 'NE' reported NMVOC emissions for years 1990-2004, Lithuania answered that they will estimate emissions for the next submission. The TERT notes that it relates to non-mandatory years.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improves the IIR description regarding the scope, the methodology, the Tier and the EF used for NMVOC estimates in its 2021 IIR and estimates NMVOC for the period 1990-2004 in its 2021 NFR.</w:t>
            </w:r>
          </w:p>
        </w:tc>
      </w:tr>
      <w:tr w:rsidR="002117B2" w14:paraId="2892A813"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605B632"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42B7AB9"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30FEDE3"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525FFC5"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DD20E64"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E7F0CC2"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B196709"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2BA73725"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46B8A5"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266051" w14:textId="77777777" w:rsidR="002117B2" w:rsidRDefault="00616284">
            <w:pPr>
              <w:spacing w:before="40" w:after="40"/>
              <w:ind w:left="100" w:right="100"/>
            </w:pPr>
            <w:r>
              <w:rPr>
                <w:rFonts w:ascii="Calibri" w:eastAsia="Calibri" w:hAnsi="Calibri" w:cs="Calibri"/>
                <w:color w:val="111111"/>
                <w:sz w:val="18"/>
                <w:szCs w:val="18"/>
              </w:rPr>
              <w:t>LT-2G-2019-0001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49DD1E"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B48BA3" w14:textId="1B2DC930" w:rsidR="002117B2" w:rsidRDefault="00616284">
            <w:pPr>
              <w:spacing w:before="40" w:after="40"/>
              <w:ind w:left="100" w:right="100"/>
            </w:pPr>
            <w:r>
              <w:rPr>
                <w:rFonts w:ascii="Calibri" w:eastAsia="Calibri" w:hAnsi="Calibri" w:cs="Calibri"/>
                <w:color w:val="111111"/>
                <w:sz w:val="18"/>
                <w:szCs w:val="18"/>
              </w:rPr>
              <w:t xml:space="preserve">2G Other Product Use,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2016-2017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5DA77C"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EF0D86"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E6A079"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6F27F623"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FB6394" w14:textId="04C08B4B"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2G Other Product Use, for pollutant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and all years the TERT noted a potential over-estimate of emissions and that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emissions are equal to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10</w:t>
            </w:r>
            <w:r>
              <w:rPr>
                <w:rFonts w:ascii="Calibri" w:eastAsia="Calibri" w:hAnsi="Calibri" w:cs="Calibri"/>
                <w:color w:val="000000"/>
                <w:sz w:val="18"/>
                <w:szCs w:val="18"/>
              </w:rPr>
              <w:t xml:space="preserve"> emissions. This was raised during the 2019 NECD review when Lithuania provided a revised estimate to address the identified issue. In response to a question raised during the review Lithuania noted that they do not have sufficient resource to provide a revised estimate. The TERT noted that the issue is below the threshold of significance for a technical correction.  </w:t>
            </w:r>
            <w:r>
              <w:rPr>
                <w:rFonts w:ascii="Calibri" w:eastAsia="Calibri" w:hAnsi="Calibri" w:cs="Calibri"/>
                <w:color w:val="000000"/>
                <w:sz w:val="18"/>
                <w:szCs w:val="18"/>
              </w:rPr>
              <w:br/>
            </w:r>
            <w:r>
              <w:rPr>
                <w:rFonts w:ascii="Calibri" w:eastAsia="Calibri" w:hAnsi="Calibri" w:cs="Calibri"/>
                <w:b/>
                <w:color w:val="000000"/>
                <w:sz w:val="18"/>
                <w:szCs w:val="18"/>
              </w:rPr>
              <w:t xml:space="preserve">The TERT recommends that Lithuania, as a minimum, implement the revised estimate from the 2019 NECD review in the 2021 submission and considers improving its methodology for estimating </w:t>
            </w:r>
            <w:r w:rsidRPr="00616284">
              <w:rPr>
                <w:rFonts w:ascii="Calibri" w:eastAsia="Calibri" w:hAnsi="Calibri" w:cs="Calibri"/>
                <w:b/>
                <w:color w:val="000000"/>
                <w:sz w:val="18"/>
                <w:szCs w:val="18"/>
              </w:rPr>
              <w:t>PM</w:t>
            </w:r>
            <w:r w:rsidRPr="00616284">
              <w:rPr>
                <w:rFonts w:ascii="Calibri" w:eastAsia="Calibri" w:hAnsi="Calibri" w:cs="Calibri"/>
                <w:b/>
                <w:color w:val="000000"/>
                <w:sz w:val="18"/>
                <w:szCs w:val="18"/>
                <w:vertAlign w:val="subscript"/>
              </w:rPr>
              <w:t>2.5</w:t>
            </w:r>
            <w:r>
              <w:rPr>
                <w:rFonts w:ascii="Calibri" w:eastAsia="Calibri" w:hAnsi="Calibri" w:cs="Calibri"/>
                <w:b/>
                <w:color w:val="000000"/>
                <w:sz w:val="18"/>
                <w:szCs w:val="18"/>
              </w:rPr>
              <w:t xml:space="preserve"> for 2G where possible.</w:t>
            </w:r>
          </w:p>
        </w:tc>
      </w:tr>
      <w:tr w:rsidR="002117B2" w14:paraId="6702175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B1A8098"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2C42600"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9F2C5A9"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195C162"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928900A"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42A9563"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0B1FB4A"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46D1466B"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45DC5D"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23B65F" w14:textId="77777777" w:rsidR="002117B2" w:rsidRDefault="00616284">
            <w:pPr>
              <w:spacing w:before="40" w:after="40"/>
              <w:ind w:left="100" w:right="100"/>
            </w:pPr>
            <w:r>
              <w:rPr>
                <w:rFonts w:ascii="Calibri" w:eastAsia="Calibri" w:hAnsi="Calibri" w:cs="Calibri"/>
                <w:color w:val="111111"/>
                <w:sz w:val="18"/>
                <w:szCs w:val="18"/>
              </w:rPr>
              <w:t>LT-3B-2017-0004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184B80"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156A67" w14:textId="1256BF0B" w:rsidR="002117B2" w:rsidRDefault="00616284">
            <w:pPr>
              <w:spacing w:before="40" w:after="40"/>
              <w:ind w:left="100" w:right="100"/>
            </w:pPr>
            <w:r>
              <w:rPr>
                <w:rFonts w:ascii="Calibri" w:eastAsia="Calibri" w:hAnsi="Calibri" w:cs="Calibri"/>
                <w:color w:val="111111"/>
                <w:sz w:val="18"/>
                <w:szCs w:val="18"/>
              </w:rPr>
              <w:t xml:space="preserve">3B Manure Management,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2000-2018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9FE9C1"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D76004"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8B3732"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12727054"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874BC3" w14:textId="186061BF"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3B Manure Management 1990-2018 the TERT noted that there is a lack of transparency regarding the calculation of the </w:t>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emission. The 2020 submitted IIR includes very little information on the key parameters used for calculation of the </w:t>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emission for 3B, with no information is given on N-excretion, manure systems or housing days. The lack of information makes it difficult to understand and evaluate the Lithuania </w:t>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inventory, and therefore is raised request for recalculation for the main 3B categories in other observations (LT-3B1a-2020-0001, LT-3B1b-2020-0001 and LT-3b3-2020-0001). The currents observation focuses only on transparency due to lack of information mentioned above, and thus, does not relate to an over- or under-estimate of emissions. This issue of poor transparency was raised during the 2017, 2018 and 2019 NECD reviews. In response to a question raised during the 2020 review, Lithuania provided a excel sheet showing the N-excretion, and allocation of manure system for dairy cattle.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information for N-excretion, manure management system and housing days for all 3B animal categories for the next submission. In the work to improve the transparency, the TERT recommend Lithuania use other comparable countries IIR report as inspiration.</w:t>
            </w:r>
          </w:p>
        </w:tc>
      </w:tr>
      <w:tr w:rsidR="002117B2" w14:paraId="60C4162A"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B4BFCFD"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D3551C6"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18EE6EE"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23E15AD"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2D23FD3"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6E7616A"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590D83B"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4F60A92"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933514"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6828B6" w14:textId="77777777" w:rsidR="002117B2" w:rsidRDefault="00616284">
            <w:pPr>
              <w:spacing w:before="40" w:after="40"/>
              <w:ind w:left="100" w:right="100"/>
            </w:pPr>
            <w:r>
              <w:rPr>
                <w:rFonts w:ascii="Calibri" w:eastAsia="Calibri" w:hAnsi="Calibri" w:cs="Calibri"/>
                <w:color w:val="111111"/>
                <w:sz w:val="18"/>
                <w:szCs w:val="18"/>
              </w:rPr>
              <w:t>LT-3B-2019-0001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EED642"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9EA3D4" w14:textId="77777777" w:rsidR="002117B2" w:rsidRDefault="00616284">
            <w:pPr>
              <w:spacing w:before="40" w:after="40"/>
              <w:ind w:left="100" w:right="100"/>
            </w:pPr>
            <w:r>
              <w:rPr>
                <w:rFonts w:ascii="Calibri" w:eastAsia="Calibri" w:hAnsi="Calibri" w:cs="Calibri"/>
                <w:color w:val="111111"/>
                <w:sz w:val="18"/>
                <w:szCs w:val="18"/>
              </w:rPr>
              <w:t>3B Manure Management, NMVOC, 2000-2017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FFCD9D"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7FD276"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B9A4D9" w14:textId="77777777" w:rsidR="002117B2" w:rsidRDefault="00616284">
            <w:pPr>
              <w:spacing w:before="40" w:after="40"/>
              <w:ind w:left="100" w:right="100"/>
            </w:pPr>
            <w:r>
              <w:rPr>
                <w:rFonts w:ascii="Calibri" w:eastAsia="Calibri" w:hAnsi="Calibri" w:cs="Calibri"/>
                <w:color w:val="111111"/>
                <w:sz w:val="18"/>
                <w:szCs w:val="18"/>
              </w:rPr>
              <w:t>Yes</w:t>
            </w:r>
          </w:p>
        </w:tc>
      </w:tr>
      <w:tr w:rsidR="002117B2" w14:paraId="032B050C"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0078E7" w14:textId="08A6CD58"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The TERT notes with reference to NMVOC emissions of 3B Manure Management and IIR Table 45 that Lithuania uses the Tier 1 methodology for 3B1a Dairy Cattle, 3B1b Non-Dairy Cattle, which are key source categories for all years and for 3B4h which are key source for year 2015, when a Tier 2 methodology should be used. This was also raised during the 2019 NECD review (LT-3B-2019-0001). In response to the question raised Lithuania confirmed that a Tier 2 NMVOC calculation will be provided. This issue is considered as above the threshold of significance.  </w:t>
            </w:r>
            <w:r>
              <w:rPr>
                <w:rFonts w:ascii="Calibri" w:eastAsia="Calibri" w:hAnsi="Calibri" w:cs="Calibri"/>
                <w:color w:val="000000"/>
                <w:sz w:val="18"/>
                <w:szCs w:val="18"/>
              </w:rPr>
              <w:br/>
            </w:r>
            <w:r>
              <w:rPr>
                <w:rFonts w:ascii="Calibri" w:eastAsia="Calibri" w:hAnsi="Calibri" w:cs="Calibri"/>
                <w:b/>
                <w:color w:val="000000"/>
                <w:sz w:val="18"/>
                <w:szCs w:val="18"/>
              </w:rPr>
              <w:t xml:space="preserve">The TERT reiterates the recommendation that a Tier 2 NMVOC calculation for 3B1a, 3B1b and 3B4h should be estimated. For a Tier2 calculation data for feed intake is needed (refer to CRF Table 3A), percentage of silage feeding, housing days and data for </w:t>
            </w:r>
            <w:r w:rsidRPr="00616284">
              <w:rPr>
                <w:rFonts w:ascii="Calibri" w:eastAsia="Calibri" w:hAnsi="Calibri" w:cs="Calibri"/>
                <w:b/>
                <w:color w:val="000000"/>
                <w:sz w:val="18"/>
                <w:szCs w:val="18"/>
              </w:rPr>
              <w:t>NH</w:t>
            </w:r>
            <w:r w:rsidRPr="00616284">
              <w:rPr>
                <w:rFonts w:ascii="Calibri" w:eastAsia="Calibri" w:hAnsi="Calibri" w:cs="Calibri"/>
                <w:b/>
                <w:color w:val="000000"/>
                <w:sz w:val="18"/>
                <w:szCs w:val="18"/>
                <w:vertAlign w:val="subscript"/>
              </w:rPr>
              <w:t>3</w:t>
            </w:r>
            <w:r>
              <w:rPr>
                <w:rFonts w:ascii="Calibri" w:eastAsia="Calibri" w:hAnsi="Calibri" w:cs="Calibri"/>
                <w:b/>
                <w:color w:val="000000"/>
                <w:sz w:val="18"/>
                <w:szCs w:val="18"/>
              </w:rPr>
              <w:t xml:space="preserve"> emission from housing, storage and application.</w:t>
            </w:r>
          </w:p>
        </w:tc>
      </w:tr>
      <w:tr w:rsidR="002117B2" w14:paraId="709B3C9E"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46D49A5"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FAEFFD6"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7996465"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2AD649C"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0F9A06C"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38C0A5A"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E760499"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7255005D"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716DD7" w14:textId="77777777" w:rsidR="002117B2" w:rsidRDefault="00616284">
            <w:pPr>
              <w:spacing w:before="40" w:after="40"/>
              <w:ind w:left="100" w:right="100"/>
            </w:pPr>
            <w:r>
              <w:rPr>
                <w:rFonts w:ascii="Calibri" w:eastAsia="Calibri" w:hAnsi="Calibri" w:cs="Calibri"/>
                <w:color w:val="111111"/>
                <w:sz w:val="18"/>
                <w:szCs w:val="18"/>
              </w:rPr>
              <w:t>2018 (3)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8F8F13" w14:textId="77777777" w:rsidR="002117B2" w:rsidRDefault="00616284">
            <w:pPr>
              <w:spacing w:before="40" w:after="40"/>
              <w:ind w:left="100" w:right="100"/>
            </w:pPr>
            <w:r>
              <w:rPr>
                <w:rFonts w:ascii="Calibri" w:eastAsia="Calibri" w:hAnsi="Calibri" w:cs="Calibri"/>
                <w:color w:val="111111"/>
                <w:sz w:val="18"/>
                <w:szCs w:val="18"/>
              </w:rPr>
              <w:t>LT-3-2018-0001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7087B3"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128F8F" w14:textId="172A1F2D" w:rsidR="002117B2" w:rsidRDefault="00616284">
            <w:pPr>
              <w:spacing w:before="40" w:after="40"/>
              <w:ind w:left="100" w:right="100"/>
            </w:pPr>
            <w:r>
              <w:rPr>
                <w:rFonts w:ascii="Calibri" w:eastAsia="Calibri" w:hAnsi="Calibri" w:cs="Calibri"/>
                <w:color w:val="111111"/>
                <w:sz w:val="18"/>
                <w:szCs w:val="18"/>
              </w:rPr>
              <w:t xml:space="preserve">3B Manure Management,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1990-2016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1A16E5"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ED4700"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C9B5EC"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77584411"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FBE3A0" w14:textId="4A72AD5A"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3B Manure Management, pollutant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the TERT noted that there is a lack of transparency regarding the implementation of finding LT-3-2018-0001. This does not relate to an over- or under-estimate of emissions. This was raised during the 2018 and 2019 NECD review. The TERT have checked the IEF, which seems to match the Tier 1 emission factor, which indicate that this issue is below the threshold of significance. However, no information is included in the IIR regarding the time period that livestock spend outside and inside, which is information needed to estimate the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 In response to a question raised during the review, Lithuania confirmed that a table showing the housing/grassing days for each 3B categories will be included in the IIR for the next submission in 2021.  </w:t>
            </w:r>
            <w:r>
              <w:rPr>
                <w:rFonts w:ascii="Calibri" w:eastAsia="Calibri" w:hAnsi="Calibri" w:cs="Calibri"/>
                <w:color w:val="000000"/>
                <w:sz w:val="18"/>
                <w:szCs w:val="18"/>
              </w:rPr>
              <w:br/>
            </w:r>
            <w:r>
              <w:rPr>
                <w:rFonts w:ascii="Calibri" w:eastAsia="Calibri" w:hAnsi="Calibri" w:cs="Calibri"/>
                <w:b/>
                <w:color w:val="000000"/>
                <w:sz w:val="18"/>
                <w:szCs w:val="18"/>
              </w:rPr>
              <w:t xml:space="preserve">The TERT recommends that Lithuania include information for housing/grassing days used in the calculation of the </w:t>
            </w:r>
            <w:r w:rsidRPr="00616284">
              <w:rPr>
                <w:rFonts w:ascii="Calibri" w:eastAsia="Calibri" w:hAnsi="Calibri" w:cs="Calibri"/>
                <w:b/>
                <w:color w:val="000000"/>
                <w:sz w:val="18"/>
                <w:szCs w:val="18"/>
              </w:rPr>
              <w:t>PM</w:t>
            </w:r>
            <w:r w:rsidRPr="00616284">
              <w:rPr>
                <w:rFonts w:ascii="Calibri" w:eastAsia="Calibri" w:hAnsi="Calibri" w:cs="Calibri"/>
                <w:b/>
                <w:color w:val="000000"/>
                <w:sz w:val="18"/>
                <w:szCs w:val="18"/>
                <w:vertAlign w:val="subscript"/>
              </w:rPr>
              <w:t>2.5</w:t>
            </w:r>
            <w:r>
              <w:rPr>
                <w:rFonts w:ascii="Calibri" w:eastAsia="Calibri" w:hAnsi="Calibri" w:cs="Calibri"/>
                <w:b/>
                <w:color w:val="000000"/>
                <w:sz w:val="18"/>
                <w:szCs w:val="18"/>
              </w:rPr>
              <w:t xml:space="preserve"> emission from 3B.</w:t>
            </w:r>
          </w:p>
        </w:tc>
      </w:tr>
      <w:tr w:rsidR="002117B2" w14:paraId="29783CAD"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038434E"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97AB604"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3A59783"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2B25130"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DE154AF"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87AAAE5"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4FAED8F"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51BE48C8"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BC7565"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F04E2D" w14:textId="77777777" w:rsidR="002117B2" w:rsidRDefault="00616284">
            <w:pPr>
              <w:spacing w:before="40" w:after="40"/>
              <w:ind w:left="100" w:right="100"/>
            </w:pPr>
            <w:r>
              <w:rPr>
                <w:rFonts w:ascii="Calibri" w:eastAsia="Calibri" w:hAnsi="Calibri" w:cs="Calibri"/>
                <w:color w:val="111111"/>
                <w:sz w:val="18"/>
                <w:szCs w:val="18"/>
              </w:rPr>
              <w:t>LT-3Da1-2020-0002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F3EDD0"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F719C1" w14:textId="14E4AD5E" w:rsidR="002117B2" w:rsidRDefault="00616284">
            <w:pPr>
              <w:spacing w:before="40" w:after="40"/>
              <w:ind w:left="100" w:right="100"/>
            </w:pPr>
            <w:r>
              <w:rPr>
                <w:rFonts w:ascii="Calibri" w:eastAsia="Calibri" w:hAnsi="Calibri" w:cs="Calibri"/>
                <w:color w:val="111111"/>
                <w:sz w:val="18"/>
                <w:szCs w:val="18"/>
              </w:rPr>
              <w:t xml:space="preserve">3Da1 Inorganic N-Fertilizers, </w:t>
            </w: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r>
              <w:rPr>
                <w:rFonts w:ascii="Calibri" w:eastAsia="Calibri" w:hAnsi="Calibri" w:cs="Calibri"/>
                <w:color w:val="111111"/>
                <w:sz w:val="18"/>
                <w:szCs w:val="18"/>
              </w:rPr>
              <w:t>, 1990-2018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A3EF1B"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18D187"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2ADF1D"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357176EE"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FAF40E" w14:textId="18653331"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The TERT notes with reference to 3Da1 Inorganic N-Fertilizers,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2</w:t>
            </w:r>
            <w:r>
              <w:rPr>
                <w:rFonts w:ascii="Calibri" w:eastAsia="Calibri" w:hAnsi="Calibri" w:cs="Calibri"/>
                <w:color w:val="000000"/>
                <w:sz w:val="18"/>
                <w:szCs w:val="18"/>
              </w:rPr>
              <w:t xml:space="preserve"> emissions and IIR Chapter 5.4.2, that Lithuania convert the default Tier 1 with 44/30, which is not needed because the EF in EMEP/EEA Guidebook 3D Table 3.1 is given in kg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2</w:t>
            </w:r>
            <w:r>
              <w:rPr>
                <w:rFonts w:ascii="Calibri" w:eastAsia="Calibri" w:hAnsi="Calibri" w:cs="Calibri"/>
                <w:color w:val="000000"/>
                <w:sz w:val="18"/>
                <w:szCs w:val="18"/>
              </w:rPr>
              <w:t xml:space="preserve"> per kg N applied. This leads to an overestimation of the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2</w:t>
            </w:r>
            <w:r>
              <w:rPr>
                <w:rFonts w:ascii="Calibri" w:eastAsia="Calibri" w:hAnsi="Calibri" w:cs="Calibri"/>
                <w:color w:val="000000"/>
                <w:sz w:val="18"/>
                <w:szCs w:val="18"/>
              </w:rPr>
              <w:t xml:space="preserve"> emission, but the TERT considered that the issue is below the threshold of significance for a technical correction.  </w:t>
            </w:r>
            <w:r>
              <w:rPr>
                <w:rFonts w:ascii="Calibri" w:eastAsia="Calibri" w:hAnsi="Calibri" w:cs="Calibri"/>
                <w:color w:val="000000"/>
                <w:sz w:val="18"/>
                <w:szCs w:val="18"/>
              </w:rPr>
              <w:br/>
            </w:r>
            <w:r>
              <w:rPr>
                <w:rFonts w:ascii="Calibri" w:eastAsia="Calibri" w:hAnsi="Calibri" w:cs="Calibri"/>
                <w:b/>
                <w:color w:val="000000"/>
                <w:sz w:val="18"/>
                <w:szCs w:val="18"/>
              </w:rPr>
              <w:t xml:space="preserve">In response to a question raised during the Lithuania confirm to correct the </w:t>
            </w:r>
            <w:r w:rsidRPr="00616284">
              <w:rPr>
                <w:rFonts w:ascii="Calibri" w:eastAsia="Calibri" w:hAnsi="Calibri" w:cs="Calibri"/>
                <w:b/>
                <w:color w:val="000000"/>
                <w:sz w:val="18"/>
                <w:szCs w:val="18"/>
              </w:rPr>
              <w:t>NO</w:t>
            </w:r>
            <w:r w:rsidRPr="00616284">
              <w:rPr>
                <w:rFonts w:ascii="Calibri" w:eastAsia="Calibri" w:hAnsi="Calibri" w:cs="Calibri"/>
                <w:b/>
                <w:color w:val="000000"/>
                <w:sz w:val="18"/>
                <w:szCs w:val="18"/>
                <w:vertAlign w:val="subscript"/>
              </w:rPr>
              <w:t>2</w:t>
            </w:r>
            <w:r>
              <w:rPr>
                <w:rFonts w:ascii="Calibri" w:eastAsia="Calibri" w:hAnsi="Calibri" w:cs="Calibri"/>
                <w:b/>
                <w:color w:val="000000"/>
                <w:sz w:val="18"/>
                <w:szCs w:val="18"/>
              </w:rPr>
              <w:t xml:space="preserve"> EF to the default given in in the 2019 EMEP/EEA Guidebook Table 3.1, for the submission 2021, as recommended by the TERT.</w:t>
            </w:r>
          </w:p>
        </w:tc>
      </w:tr>
      <w:tr w:rsidR="002117B2" w14:paraId="70E5332B"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CEC6AFD"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4D166A4"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05B8FA6"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3A2A6B2"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1E2013C"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6563D55"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57B93E4"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301EF67"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E8F24F"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A47394" w14:textId="77777777" w:rsidR="002117B2" w:rsidRDefault="00616284">
            <w:pPr>
              <w:spacing w:before="40" w:after="40"/>
              <w:ind w:left="100" w:right="100"/>
            </w:pPr>
            <w:r>
              <w:rPr>
                <w:rFonts w:ascii="Calibri" w:eastAsia="Calibri" w:hAnsi="Calibri" w:cs="Calibri"/>
                <w:color w:val="111111"/>
                <w:sz w:val="18"/>
                <w:szCs w:val="18"/>
              </w:rPr>
              <w:t>LT-3Da2a-2017-0001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F2B50E"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18AE14" w14:textId="3AB5D469" w:rsidR="002117B2" w:rsidRDefault="00616284">
            <w:pPr>
              <w:spacing w:before="40" w:after="40"/>
              <w:ind w:left="100" w:right="100"/>
            </w:pPr>
            <w:r>
              <w:rPr>
                <w:rFonts w:ascii="Calibri" w:eastAsia="Calibri" w:hAnsi="Calibri" w:cs="Calibri"/>
                <w:color w:val="111111"/>
                <w:sz w:val="18"/>
                <w:szCs w:val="18"/>
              </w:rPr>
              <w:t xml:space="preserve">3Da2a Animal Manure Applied to Soils, </w:t>
            </w: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r>
              <w:rPr>
                <w:rFonts w:ascii="Calibri" w:eastAsia="Calibri" w:hAnsi="Calibri" w:cs="Calibri"/>
                <w:color w:val="111111"/>
                <w:sz w:val="18"/>
                <w:szCs w:val="18"/>
              </w:rPr>
              <w:t>, 2005, 2010, 2015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DB26DC"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6E877C"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50776B"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253B9E58"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4A30B6" w14:textId="44929F99"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The TERT notes with reference to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2</w:t>
            </w:r>
            <w:r>
              <w:rPr>
                <w:rFonts w:ascii="Calibri" w:eastAsia="Calibri" w:hAnsi="Calibri" w:cs="Calibri"/>
                <w:color w:val="000000"/>
                <w:sz w:val="18"/>
                <w:szCs w:val="18"/>
              </w:rPr>
              <w:t xml:space="preserve"> emission from 3Da2a </w:t>
            </w:r>
            <w:r w:rsidR="00874A03">
              <w:rPr>
                <w:rFonts w:ascii="Calibri" w:eastAsia="Calibri" w:hAnsi="Calibri" w:cs="Calibri"/>
                <w:color w:val="111111"/>
                <w:sz w:val="18"/>
                <w:szCs w:val="18"/>
              </w:rPr>
              <w:t>Animal Manure Applied to Soils</w:t>
            </w:r>
            <w:r w:rsidR="00874A03">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years 1990-2018 that there may be an over-estimate of emissions, because activity data (N in manure applied) is significant higher that reported in CRF (Table 3D) and because Lithuania had use a conversion (from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2</w:t>
            </w:r>
            <w:r>
              <w:rPr>
                <w:rFonts w:ascii="Calibri" w:eastAsia="Calibri" w:hAnsi="Calibri" w:cs="Calibri"/>
                <w:color w:val="000000"/>
                <w:sz w:val="18"/>
                <w:szCs w:val="18"/>
              </w:rPr>
              <w:t xml:space="preserve">-N to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2</w:t>
            </w:r>
            <w:r>
              <w:rPr>
                <w:rFonts w:ascii="Calibri" w:eastAsia="Calibri" w:hAnsi="Calibri" w:cs="Calibri"/>
                <w:color w:val="000000"/>
                <w:sz w:val="18"/>
                <w:szCs w:val="18"/>
              </w:rPr>
              <w:t xml:space="preserve">), which is not needed by using the 2019 EMEP/EEA Guidebook default. The calculation of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X</w:t>
            </w:r>
            <w:r>
              <w:rPr>
                <w:rFonts w:ascii="Calibri" w:eastAsia="Calibri" w:hAnsi="Calibri" w:cs="Calibri"/>
                <w:color w:val="000000"/>
                <w:sz w:val="18"/>
                <w:szCs w:val="18"/>
              </w:rPr>
              <w:t xml:space="preserve"> emission from 3DA2a was raised during the 2017, 2018 and 2019 NECD reviews, whit focus on lack of transparency. In response to the question raised Lithuania explained that the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2</w:t>
            </w:r>
            <w:r>
              <w:rPr>
                <w:rFonts w:ascii="Calibri" w:eastAsia="Calibri" w:hAnsi="Calibri" w:cs="Calibri"/>
                <w:color w:val="000000"/>
                <w:sz w:val="18"/>
                <w:szCs w:val="18"/>
              </w:rPr>
              <w:t xml:space="preserve"> emission was based on a Tier2 calculation, which makes the use of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2</w:t>
            </w:r>
            <w:r>
              <w:rPr>
                <w:rFonts w:ascii="Calibri" w:eastAsia="Calibri" w:hAnsi="Calibri" w:cs="Calibri"/>
                <w:color w:val="000000"/>
                <w:sz w:val="18"/>
                <w:szCs w:val="18"/>
              </w:rPr>
              <w:t xml:space="preserve"> default irrelevant.  </w:t>
            </w:r>
            <w:r>
              <w:rPr>
                <w:rFonts w:ascii="Calibri" w:eastAsia="Calibri" w:hAnsi="Calibri" w:cs="Calibri"/>
                <w:color w:val="000000"/>
                <w:sz w:val="18"/>
                <w:szCs w:val="18"/>
              </w:rPr>
              <w:br/>
            </w:r>
            <w:r>
              <w:rPr>
                <w:rFonts w:ascii="Calibri" w:eastAsia="Calibri" w:hAnsi="Calibri" w:cs="Calibri"/>
                <w:b/>
                <w:color w:val="000000"/>
                <w:sz w:val="18"/>
                <w:szCs w:val="18"/>
              </w:rPr>
              <w:t xml:space="preserve">The TERT recommends </w:t>
            </w:r>
            <w:r w:rsidR="00E62B13">
              <w:rPr>
                <w:rFonts w:ascii="Calibri" w:eastAsia="Calibri" w:hAnsi="Calibri" w:cs="Calibri"/>
                <w:b/>
                <w:color w:val="000000"/>
                <w:sz w:val="18"/>
                <w:szCs w:val="18"/>
              </w:rPr>
              <w:t xml:space="preserve">that </w:t>
            </w:r>
            <w:r>
              <w:rPr>
                <w:rFonts w:ascii="Calibri" w:eastAsia="Calibri" w:hAnsi="Calibri" w:cs="Calibri"/>
                <w:b/>
                <w:color w:val="000000"/>
                <w:sz w:val="18"/>
                <w:szCs w:val="18"/>
              </w:rPr>
              <w:t>Lithuania check</w:t>
            </w:r>
            <w:r w:rsidR="00E62B13">
              <w:rPr>
                <w:rFonts w:ascii="Calibri" w:eastAsia="Calibri" w:hAnsi="Calibri" w:cs="Calibri"/>
                <w:b/>
                <w:color w:val="000000"/>
                <w:sz w:val="18"/>
                <w:szCs w:val="18"/>
              </w:rPr>
              <w:t>s</w:t>
            </w:r>
            <w:r>
              <w:rPr>
                <w:rFonts w:ascii="Calibri" w:eastAsia="Calibri" w:hAnsi="Calibri" w:cs="Calibri"/>
                <w:b/>
                <w:color w:val="000000"/>
                <w:sz w:val="18"/>
                <w:szCs w:val="18"/>
              </w:rPr>
              <w:t xml:space="preserve"> the Tier2 </w:t>
            </w:r>
            <w:r w:rsidRPr="00616284">
              <w:rPr>
                <w:rFonts w:ascii="Calibri" w:eastAsia="Calibri" w:hAnsi="Calibri" w:cs="Calibri"/>
                <w:b/>
                <w:color w:val="000000"/>
                <w:sz w:val="18"/>
                <w:szCs w:val="18"/>
              </w:rPr>
              <w:t>NO</w:t>
            </w:r>
            <w:r w:rsidRPr="00616284">
              <w:rPr>
                <w:rFonts w:ascii="Calibri" w:eastAsia="Calibri" w:hAnsi="Calibri" w:cs="Calibri"/>
                <w:b/>
                <w:color w:val="000000"/>
                <w:sz w:val="18"/>
                <w:szCs w:val="18"/>
                <w:vertAlign w:val="subscript"/>
              </w:rPr>
              <w:t>2</w:t>
            </w:r>
            <w:r>
              <w:rPr>
                <w:rFonts w:ascii="Calibri" w:eastAsia="Calibri" w:hAnsi="Calibri" w:cs="Calibri"/>
                <w:b/>
                <w:color w:val="000000"/>
                <w:sz w:val="18"/>
                <w:szCs w:val="18"/>
              </w:rPr>
              <w:t xml:space="preserve"> calculation for 3Da2a and to ensure that activity data is in accordance with activity data in CRF (Table 3D) or explain why there is a difference between activity data in NFR and CRF submission.</w:t>
            </w:r>
          </w:p>
        </w:tc>
      </w:tr>
      <w:tr w:rsidR="002117B2" w14:paraId="65D7791D"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B3662D8"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07AE03E"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4F99A64"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6A4CF82"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BB99E9E"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B06FEEB"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66E704F"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30F358E7"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4E3563"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62E75D" w14:textId="77777777" w:rsidR="002117B2" w:rsidRDefault="00616284">
            <w:pPr>
              <w:spacing w:before="40" w:after="40"/>
              <w:ind w:left="100" w:right="100"/>
            </w:pPr>
            <w:r>
              <w:rPr>
                <w:rFonts w:ascii="Calibri" w:eastAsia="Calibri" w:hAnsi="Calibri" w:cs="Calibri"/>
                <w:color w:val="111111"/>
                <w:sz w:val="18"/>
                <w:szCs w:val="18"/>
              </w:rPr>
              <w:t>LT-3Da3-2020-0001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52B0CD"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559665" w14:textId="0EBE5A93" w:rsidR="002117B2" w:rsidRDefault="00616284">
            <w:pPr>
              <w:spacing w:before="40" w:after="40"/>
              <w:ind w:left="100" w:right="100"/>
            </w:pPr>
            <w:r>
              <w:rPr>
                <w:rFonts w:ascii="Calibri" w:eastAsia="Calibri" w:hAnsi="Calibri" w:cs="Calibri"/>
                <w:color w:val="111111"/>
                <w:sz w:val="18"/>
                <w:szCs w:val="18"/>
              </w:rPr>
              <w:t xml:space="preserve">3Da3 Urine and Dung Deposited by Grazing Animals, </w:t>
            </w: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r>
              <w:rPr>
                <w:rFonts w:ascii="Calibri" w:eastAsia="Calibri" w:hAnsi="Calibri" w:cs="Calibri"/>
                <w:color w:val="111111"/>
                <w:sz w:val="18"/>
                <w:szCs w:val="18"/>
              </w:rPr>
              <w:t>, 2000-2017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776613"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93C862"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7B3D81"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4456EB74"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A663FF" w14:textId="480187CC"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The TERT notes a significant recalculation has been applied (&gt;10% change) for the key category 3Da3</w:t>
            </w:r>
            <w:r w:rsidR="00874A03">
              <w:rPr>
                <w:rFonts w:ascii="Calibri" w:eastAsia="Calibri" w:hAnsi="Calibri" w:cs="Calibri"/>
                <w:color w:val="000000"/>
                <w:sz w:val="18"/>
                <w:szCs w:val="18"/>
              </w:rPr>
              <w:t xml:space="preserve"> </w:t>
            </w:r>
            <w:r w:rsidR="00874A03">
              <w:rPr>
                <w:rFonts w:ascii="Calibri" w:eastAsia="Calibri" w:hAnsi="Calibri" w:cs="Calibri"/>
                <w:color w:val="111111"/>
                <w:sz w:val="18"/>
                <w:szCs w:val="18"/>
              </w:rPr>
              <w:t>Urine and Dung Deposited by Grazing Animals</w:t>
            </w:r>
            <w:r>
              <w:rPr>
                <w:rFonts w:ascii="Calibri" w:eastAsia="Calibri" w:hAnsi="Calibri" w:cs="Calibri"/>
                <w:color w:val="000000"/>
                <w:sz w:val="18"/>
                <w:szCs w:val="18"/>
              </w:rPr>
              <w:t xml:space="preserve"> for the pollutant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X</w:t>
            </w:r>
            <w:r>
              <w:rPr>
                <w:rFonts w:ascii="Calibri" w:eastAsia="Calibri" w:hAnsi="Calibri" w:cs="Calibri"/>
                <w:color w:val="000000"/>
                <w:sz w:val="18"/>
                <w:szCs w:val="18"/>
              </w:rPr>
              <w:t xml:space="preserve"> and years 2000-2017 and no explanation is included in the IIR. In response to a question raised during the review Lithuania informed that a Tier 2 calculation was provided but did not provide any data or information due to the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X</w:t>
            </w:r>
            <w:r>
              <w:rPr>
                <w:rFonts w:ascii="Calibri" w:eastAsia="Calibri" w:hAnsi="Calibri" w:cs="Calibri"/>
                <w:color w:val="000000"/>
                <w:sz w:val="18"/>
                <w:szCs w:val="18"/>
              </w:rPr>
              <w:t xml:space="preserve"> calculation. The TERT noted that the issue is related to a non-mandatory category.  </w:t>
            </w:r>
            <w:r>
              <w:rPr>
                <w:rFonts w:ascii="Calibri" w:eastAsia="Calibri" w:hAnsi="Calibri" w:cs="Calibri"/>
                <w:color w:val="000000"/>
                <w:sz w:val="18"/>
                <w:szCs w:val="18"/>
              </w:rPr>
              <w:br/>
            </w:r>
            <w:r>
              <w:rPr>
                <w:rFonts w:ascii="Calibri" w:eastAsia="Calibri" w:hAnsi="Calibri" w:cs="Calibri"/>
                <w:b/>
                <w:color w:val="000000"/>
                <w:sz w:val="18"/>
                <w:szCs w:val="18"/>
              </w:rPr>
              <w:t xml:space="preserve">The TERT recommends </w:t>
            </w:r>
            <w:r w:rsidR="00E62B13">
              <w:rPr>
                <w:rFonts w:ascii="Calibri" w:eastAsia="Calibri" w:hAnsi="Calibri" w:cs="Calibri"/>
                <w:b/>
                <w:color w:val="000000"/>
                <w:sz w:val="18"/>
                <w:szCs w:val="18"/>
              </w:rPr>
              <w:t xml:space="preserve">that </w:t>
            </w:r>
            <w:r>
              <w:rPr>
                <w:rFonts w:ascii="Calibri" w:eastAsia="Calibri" w:hAnsi="Calibri" w:cs="Calibri"/>
                <w:b/>
                <w:color w:val="000000"/>
                <w:sz w:val="18"/>
                <w:szCs w:val="18"/>
              </w:rPr>
              <w:t xml:space="preserve">Lithuania provide more information in IIR for next submission 2021 showing the key parameters used in the </w:t>
            </w:r>
            <w:r w:rsidRPr="00616284">
              <w:rPr>
                <w:rFonts w:ascii="Calibri" w:eastAsia="Calibri" w:hAnsi="Calibri" w:cs="Calibri"/>
                <w:b/>
                <w:color w:val="000000"/>
                <w:sz w:val="18"/>
                <w:szCs w:val="18"/>
              </w:rPr>
              <w:t>NO</w:t>
            </w:r>
            <w:r w:rsidRPr="00616284">
              <w:rPr>
                <w:rFonts w:ascii="Calibri" w:eastAsia="Calibri" w:hAnsi="Calibri" w:cs="Calibri"/>
                <w:b/>
                <w:color w:val="000000"/>
                <w:sz w:val="18"/>
                <w:szCs w:val="18"/>
                <w:vertAlign w:val="subscript"/>
              </w:rPr>
              <w:t>X</w:t>
            </w:r>
            <w:r>
              <w:rPr>
                <w:rFonts w:ascii="Calibri" w:eastAsia="Calibri" w:hAnsi="Calibri" w:cs="Calibri"/>
                <w:b/>
                <w:color w:val="000000"/>
                <w:sz w:val="18"/>
                <w:szCs w:val="18"/>
              </w:rPr>
              <w:t xml:space="preserve"> Tier 2 calculation, as N-excretion, allocation on manure system and housing days.</w:t>
            </w:r>
          </w:p>
        </w:tc>
      </w:tr>
      <w:tr w:rsidR="002117B2" w14:paraId="38AA1F2F"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593955D"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9D5E18F"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D3AFD72"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B19D7BB"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975E831"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B596FAD"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11E0B73"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5B4C2319"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7B10D5"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41B584" w14:textId="77777777" w:rsidR="002117B2" w:rsidRDefault="00616284">
            <w:pPr>
              <w:spacing w:before="40" w:after="40"/>
              <w:ind w:left="100" w:right="100"/>
            </w:pPr>
            <w:r>
              <w:rPr>
                <w:rFonts w:ascii="Calibri" w:eastAsia="Calibri" w:hAnsi="Calibri" w:cs="Calibri"/>
                <w:color w:val="111111"/>
                <w:sz w:val="18"/>
                <w:szCs w:val="18"/>
              </w:rPr>
              <w:t>LT-3De-2020-0001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DD3F6E"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D71476" w14:textId="77777777" w:rsidR="002117B2" w:rsidRDefault="00616284">
            <w:pPr>
              <w:spacing w:before="40" w:after="40"/>
              <w:ind w:left="100" w:right="100"/>
            </w:pPr>
            <w:r>
              <w:rPr>
                <w:rFonts w:ascii="Calibri" w:eastAsia="Calibri" w:hAnsi="Calibri" w:cs="Calibri"/>
                <w:color w:val="111111"/>
                <w:sz w:val="18"/>
                <w:szCs w:val="18"/>
              </w:rPr>
              <w:t>3De Cultivated Crops, NMVOC, 2005-2018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38C0DF"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4BE1DC"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248D42" w14:textId="77777777" w:rsidR="002117B2" w:rsidRDefault="00616284">
            <w:pPr>
              <w:spacing w:before="40" w:after="40"/>
              <w:ind w:left="100" w:right="100"/>
            </w:pPr>
            <w:r>
              <w:rPr>
                <w:rFonts w:ascii="Calibri" w:eastAsia="Calibri" w:hAnsi="Calibri" w:cs="Calibri"/>
                <w:color w:val="111111"/>
                <w:sz w:val="18"/>
                <w:szCs w:val="18"/>
              </w:rPr>
              <w:t>Yes</w:t>
            </w:r>
          </w:p>
        </w:tc>
      </w:tr>
      <w:tr w:rsidR="002117B2" w14:paraId="6934D918"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EB5552" w14:textId="7DC3876E"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The TERT notes that 3De Cultivated Crops NMVOC is a key category and thus should be estimated using a Tier 2 approach (refer to the 2019 EMEP/EEA Guidebook, 3D, Table 3.3). For a Tier2 calculation national data for cultivated area (wheat, rye, rape, grass and other), crop yield (amount and dry matter fraction) is needed but not available. The TERT consider this issue to be below threshold of significance. In response to a question raised during the review Lithuania stated that they plan to compile a Tier2 estimate for NMVOC for 3De for reporting in the 2021 submission. However, Lithuania have to be aware of that the 2016- and 2019 EMEP/EEA Guidebook 3D are known to have a unit error (first column of Table 3.3 and all of Table 3.4). The units for NMVOC EFs are presented as “kg NMVOC per ha”, which should be “kg NMVOC per hour”. This issue will be added to the EMEP/EEA Guidebook errata which will be published before the next submission.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implement this Tier2 calculation for NMVOC emission from 3De for the next submission and fully documents its methods, assumptions, and data sources in its IIR.</w:t>
            </w:r>
          </w:p>
        </w:tc>
      </w:tr>
      <w:tr w:rsidR="002117B2" w14:paraId="246DFD2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B79514D"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830B9CE"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05514F0"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B1113C1"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92FA169"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350323A"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6A3C94B"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55CE429"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951F14"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D6034E" w14:textId="77777777" w:rsidR="002117B2" w:rsidRDefault="00616284">
            <w:pPr>
              <w:spacing w:before="40" w:after="40"/>
              <w:ind w:left="100" w:right="100"/>
            </w:pPr>
            <w:r>
              <w:rPr>
                <w:rFonts w:ascii="Calibri" w:eastAsia="Calibri" w:hAnsi="Calibri" w:cs="Calibri"/>
                <w:color w:val="111111"/>
                <w:sz w:val="18"/>
                <w:szCs w:val="18"/>
              </w:rPr>
              <w:t>LT-5A-2020-0001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499449"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CAA344" w14:textId="0BC3BD42" w:rsidR="002117B2" w:rsidRDefault="00616284">
            <w:pPr>
              <w:spacing w:before="40" w:after="40"/>
              <w:ind w:left="100" w:right="100"/>
            </w:pPr>
            <w:r>
              <w:rPr>
                <w:rFonts w:ascii="Calibri" w:eastAsia="Calibri" w:hAnsi="Calibri" w:cs="Calibri"/>
                <w:color w:val="111111"/>
                <w:sz w:val="18"/>
                <w:szCs w:val="18"/>
              </w:rPr>
              <w:t xml:space="preserve">5A Biological Treatment of Waste - Solid Waste Disposal on Land,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1990-2018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E62D29"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5F6658"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E61FC1"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0C7BA024"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A9E9D0" w14:textId="11B3FC79"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emissions from 5A Solid Waste Disposal on Land on for all years, the TERT noted the Activity Data (AD) applied for the estimation of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emissions is the same as for the estimation of NMVOC emissions, whereas the total amount of waste handled (including the amount of mineral waste , such as construction and demolition, ash etc.) should have been applied to estimate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emissions. In response to a question raised during the review, Lithuania agreed and indicated that it will be corrected in the 2021 submission. The TERT noted that the issue is below the threshold of significance for a technical correction.  </w:t>
            </w:r>
            <w:r>
              <w:rPr>
                <w:rFonts w:ascii="Calibri" w:eastAsia="Calibri" w:hAnsi="Calibri" w:cs="Calibri"/>
                <w:color w:val="000000"/>
                <w:sz w:val="18"/>
                <w:szCs w:val="18"/>
              </w:rPr>
              <w:br/>
            </w:r>
            <w:r>
              <w:rPr>
                <w:rFonts w:ascii="Calibri" w:eastAsia="Calibri" w:hAnsi="Calibri" w:cs="Calibri"/>
                <w:b/>
                <w:color w:val="000000"/>
                <w:sz w:val="18"/>
                <w:szCs w:val="18"/>
              </w:rPr>
              <w:t xml:space="preserve">The TERT recommends that Lithuania correct its estimate of </w:t>
            </w:r>
            <w:r w:rsidRPr="00616284">
              <w:rPr>
                <w:rFonts w:ascii="Calibri" w:eastAsia="Calibri" w:hAnsi="Calibri" w:cs="Calibri"/>
                <w:b/>
                <w:color w:val="000000"/>
                <w:sz w:val="18"/>
                <w:szCs w:val="18"/>
              </w:rPr>
              <w:t>PM</w:t>
            </w:r>
            <w:r w:rsidRPr="00616284">
              <w:rPr>
                <w:rFonts w:ascii="Calibri" w:eastAsia="Calibri" w:hAnsi="Calibri" w:cs="Calibri"/>
                <w:b/>
                <w:color w:val="000000"/>
                <w:sz w:val="18"/>
                <w:szCs w:val="18"/>
                <w:vertAlign w:val="subscript"/>
              </w:rPr>
              <w:t>2.5</w:t>
            </w:r>
            <w:r>
              <w:rPr>
                <w:rFonts w:ascii="Calibri" w:eastAsia="Calibri" w:hAnsi="Calibri" w:cs="Calibri"/>
                <w:b/>
                <w:color w:val="000000"/>
                <w:sz w:val="18"/>
                <w:szCs w:val="18"/>
              </w:rPr>
              <w:t xml:space="preserve"> emissions from 5A using the total amount of waste generated as AD.</w:t>
            </w:r>
          </w:p>
        </w:tc>
      </w:tr>
      <w:tr w:rsidR="002117B2" w14:paraId="4CAFDCE6"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DBB34CE"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1E5B7BA"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4C61BD5"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F269C3D"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7448C2D"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BC28725"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0C76665"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5DED791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BA43D7"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C9523E" w14:textId="77777777" w:rsidR="002117B2" w:rsidRDefault="00616284">
            <w:pPr>
              <w:spacing w:before="40" w:after="40"/>
              <w:ind w:left="100" w:right="100"/>
            </w:pPr>
            <w:r>
              <w:rPr>
                <w:rFonts w:ascii="Calibri" w:eastAsia="Calibri" w:hAnsi="Calibri" w:cs="Calibri"/>
                <w:color w:val="111111"/>
                <w:sz w:val="18"/>
                <w:szCs w:val="18"/>
              </w:rPr>
              <w:t>LT-5B2-2020-0001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64E4C6"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A94803" w14:textId="2F9866CD" w:rsidR="002117B2" w:rsidRDefault="00616284">
            <w:pPr>
              <w:spacing w:before="40" w:after="40"/>
              <w:ind w:left="100" w:right="100"/>
            </w:pPr>
            <w:r>
              <w:rPr>
                <w:rFonts w:ascii="Calibri" w:eastAsia="Calibri" w:hAnsi="Calibri" w:cs="Calibri"/>
                <w:color w:val="111111"/>
                <w:sz w:val="18"/>
                <w:szCs w:val="18"/>
              </w:rPr>
              <w:t xml:space="preserve">5B2 Biological Treatment of Waste - Anaerobic Digestion at Biogas Facilities,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1990-2018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3C6AE4"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DD7177"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56A464"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2275B79F"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4ACBB4" w14:textId="6C4FF417"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emissions from 5B2 Biological Treatment of Waste - Anaerobic Digestion at Biogas Facilities and for all years, the TERT noted that the equation presented page 185 of the 2020 IIR, which is supposed to be an application of the 2019 EMEP/EEA Guidelines methodology, is not consistent with the equation 1, page 7 of the chapter 5.B.2 Biological treatment of waste –anaerobic digestion at biogas facilities of the 2019 EMEP/EEA Guidelines. In response to a question raised during the review Lithuania indicated that the methodological description will be improve in the next submission. The TERT was not able to check the current methodology. However, the TERT noted that the issue is below the threshold of significance for a technical correction.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a better description of the methodology, including the correct equation and information on AD and EF.</w:t>
            </w:r>
          </w:p>
        </w:tc>
      </w:tr>
      <w:tr w:rsidR="002117B2" w14:paraId="4A5A3462"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91212B9"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5651361"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1A557B6"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F22DB66"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747C2AE"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70452F9"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BEFD20E"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40A0D9DF"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987084"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21346B" w14:textId="77777777" w:rsidR="002117B2" w:rsidRDefault="00616284">
            <w:pPr>
              <w:spacing w:before="40" w:after="40"/>
              <w:ind w:left="100" w:right="100"/>
            </w:pPr>
            <w:r>
              <w:rPr>
                <w:rFonts w:ascii="Calibri" w:eastAsia="Calibri" w:hAnsi="Calibri" w:cs="Calibri"/>
                <w:color w:val="111111"/>
                <w:sz w:val="18"/>
                <w:szCs w:val="18"/>
              </w:rPr>
              <w:t>LT-5D3-2019-0001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E4DD1E"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038A95" w14:textId="7D151329" w:rsidR="002117B2" w:rsidRDefault="00616284">
            <w:pPr>
              <w:spacing w:before="40" w:after="40"/>
              <w:ind w:left="100" w:right="100"/>
            </w:pPr>
            <w:r>
              <w:rPr>
                <w:rFonts w:ascii="Calibri" w:eastAsia="Calibri" w:hAnsi="Calibri" w:cs="Calibri"/>
                <w:color w:val="111111"/>
                <w:sz w:val="18"/>
                <w:szCs w:val="18"/>
              </w:rPr>
              <w:t xml:space="preserve">5D Wastewater Treatment,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2000-2017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E8694B"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1C4321"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481D82"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3C5D4B58"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D30B16" w14:textId="0D228119"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w:t>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emissions from 5D Wastewater Treatment and all years, the TERT noted that there is a lack of transparency regarding the allocation of emissions from latrines. Indeed, according to the 2016 EMEP/EEA Guidebook, emissions from latrine are to be included in category 5D1 Domestic Wastewater Handling, whereas it is reported under 5D3 in the Lithuanian submission. This does not relate to an over- or under-estimate of emissions. This was raised during the 2019 NECD review. In response to a question raised during the review, Lithuania agreed and explained that the reallocation is planned in improvement plan for the 2021 submission.  </w:t>
            </w:r>
            <w:r>
              <w:rPr>
                <w:rFonts w:ascii="Calibri" w:eastAsia="Calibri" w:hAnsi="Calibri" w:cs="Calibri"/>
                <w:color w:val="000000"/>
                <w:sz w:val="18"/>
                <w:szCs w:val="18"/>
              </w:rPr>
              <w:br/>
            </w:r>
            <w:r>
              <w:rPr>
                <w:rFonts w:ascii="Calibri" w:eastAsia="Calibri" w:hAnsi="Calibri" w:cs="Calibri"/>
                <w:b/>
                <w:color w:val="000000"/>
                <w:sz w:val="18"/>
                <w:szCs w:val="18"/>
              </w:rPr>
              <w:t xml:space="preserve">The TERT recommends </w:t>
            </w:r>
            <w:r w:rsidR="00AB281D">
              <w:rPr>
                <w:rFonts w:ascii="Calibri" w:eastAsia="Calibri" w:hAnsi="Calibri" w:cs="Calibri"/>
                <w:b/>
                <w:color w:val="000000"/>
                <w:sz w:val="18"/>
                <w:szCs w:val="18"/>
              </w:rPr>
              <w:t xml:space="preserve">that </w:t>
            </w:r>
            <w:r>
              <w:rPr>
                <w:rFonts w:ascii="Calibri" w:eastAsia="Calibri" w:hAnsi="Calibri" w:cs="Calibri"/>
                <w:b/>
                <w:color w:val="000000"/>
                <w:sz w:val="18"/>
                <w:szCs w:val="18"/>
              </w:rPr>
              <w:t xml:space="preserve">Lithuania reallocate </w:t>
            </w:r>
            <w:r w:rsidRPr="00616284">
              <w:rPr>
                <w:rFonts w:ascii="Calibri" w:eastAsia="Calibri" w:hAnsi="Calibri" w:cs="Calibri"/>
                <w:b/>
                <w:color w:val="000000"/>
                <w:sz w:val="18"/>
                <w:szCs w:val="18"/>
              </w:rPr>
              <w:t>NH</w:t>
            </w:r>
            <w:r w:rsidRPr="00616284">
              <w:rPr>
                <w:rFonts w:ascii="Calibri" w:eastAsia="Calibri" w:hAnsi="Calibri" w:cs="Calibri"/>
                <w:b/>
                <w:color w:val="000000"/>
                <w:sz w:val="18"/>
                <w:szCs w:val="18"/>
                <w:vertAlign w:val="subscript"/>
              </w:rPr>
              <w:t>3</w:t>
            </w:r>
            <w:r>
              <w:rPr>
                <w:rFonts w:ascii="Calibri" w:eastAsia="Calibri" w:hAnsi="Calibri" w:cs="Calibri"/>
                <w:b/>
                <w:color w:val="000000"/>
                <w:sz w:val="18"/>
                <w:szCs w:val="18"/>
              </w:rPr>
              <w:t xml:space="preserve"> emissions from latrines in NFR 5.D.1 in the 2021 submission.</w:t>
            </w:r>
          </w:p>
        </w:tc>
      </w:tr>
    </w:tbl>
    <w:p w14:paraId="62204EA7" w14:textId="77777777" w:rsidR="00C36CC3" w:rsidRDefault="00C36CC3" w:rsidP="005140D3">
      <w:pPr>
        <w:pStyle w:val="StandardNum"/>
        <w:numPr>
          <w:ilvl w:val="0"/>
          <w:numId w:val="0"/>
        </w:numPr>
      </w:pPr>
    </w:p>
    <w:p w14:paraId="0C7634CA" w14:textId="77777777" w:rsidR="00C36CC3" w:rsidRDefault="00C36CC3" w:rsidP="005140D3">
      <w:pPr>
        <w:pStyle w:val="StandardNum"/>
        <w:numPr>
          <w:ilvl w:val="0"/>
          <w:numId w:val="0"/>
        </w:numPr>
        <w:sectPr w:rsidR="00C36CC3" w:rsidSect="00C93813">
          <w:pgSz w:w="16838" w:h="11906" w:orient="landscape"/>
          <w:pgMar w:top="1440" w:right="1440" w:bottom="1440" w:left="1440" w:header="708" w:footer="708" w:gutter="0"/>
          <w:cols w:space="708"/>
          <w:docGrid w:linePitch="360"/>
        </w:sectPr>
      </w:pPr>
    </w:p>
    <w:p w14:paraId="2DD3CDE0" w14:textId="2818E84F" w:rsidR="00471239" w:rsidRPr="007B60E9" w:rsidRDefault="00471239" w:rsidP="007B60E9">
      <w:pPr>
        <w:pStyle w:val="Antrat1"/>
      </w:pPr>
      <w:bookmarkStart w:id="19" w:name="_Toc53738308"/>
      <w:r w:rsidRPr="007B60E9">
        <w:t xml:space="preserve">Findings and </w:t>
      </w:r>
      <w:r w:rsidR="006E72F8">
        <w:t>c</w:t>
      </w:r>
      <w:r w:rsidRPr="007B60E9">
        <w:t xml:space="preserve">onclusions from the </w:t>
      </w:r>
      <w:r w:rsidR="005739D7" w:rsidRPr="007B60E9">
        <w:t>t</w:t>
      </w:r>
      <w:r w:rsidR="00C90696" w:rsidRPr="007B60E9">
        <w:t xml:space="preserve">echnical </w:t>
      </w:r>
      <w:r w:rsidR="005739D7" w:rsidRPr="007B60E9">
        <w:t>e</w:t>
      </w:r>
      <w:r w:rsidR="00C90696" w:rsidRPr="007B60E9">
        <w:t xml:space="preserve">xpert </w:t>
      </w:r>
      <w:r w:rsidR="005739D7" w:rsidRPr="007B60E9">
        <w:t>r</w:t>
      </w:r>
      <w:r w:rsidR="00C90696" w:rsidRPr="007B60E9">
        <w:t xml:space="preserve">eview </w:t>
      </w:r>
      <w:r w:rsidR="005739D7" w:rsidRPr="007B60E9">
        <w:t>t</w:t>
      </w:r>
      <w:r w:rsidR="00C90696" w:rsidRPr="007B60E9">
        <w:t>eam</w:t>
      </w:r>
      <w:r w:rsidRPr="007B60E9">
        <w:t xml:space="preserve"> </w:t>
      </w:r>
      <w:r w:rsidR="00B94F44" w:rsidRPr="007B60E9">
        <w:t xml:space="preserve">for the follow-up review </w:t>
      </w:r>
      <w:r w:rsidR="009D7C35" w:rsidRPr="007B60E9">
        <w:t>of</w:t>
      </w:r>
      <w:r w:rsidR="00B94F44" w:rsidRPr="007B60E9">
        <w:t xml:space="preserve"> </w:t>
      </w:r>
      <w:r w:rsidR="000058F0" w:rsidRPr="007B60E9">
        <w:t>national emission inventories of POPs and heavy metals</w:t>
      </w:r>
      <w:bookmarkEnd w:id="19"/>
    </w:p>
    <w:p w14:paraId="318DCF76" w14:textId="77777777" w:rsidR="009D7C35" w:rsidRDefault="009D7C35" w:rsidP="009D7C35">
      <w:pPr>
        <w:pStyle w:val="StandardNum"/>
        <w:ind w:left="0"/>
      </w:pPr>
      <w:r w:rsidRPr="00E26436">
        <w:t>T</w:t>
      </w:r>
      <w:r>
        <w:t xml:space="preserve">he technical expert review team assessed </w:t>
      </w:r>
      <w:r w:rsidRPr="00C80239">
        <w:t xml:space="preserve">the implementation of </w:t>
      </w:r>
      <w:r w:rsidR="0013649C">
        <w:t>finding</w:t>
      </w:r>
      <w:r w:rsidRPr="00C80239">
        <w:t xml:space="preserve">s from the NECD </w:t>
      </w:r>
      <w:r>
        <w:t>R</w:t>
      </w:r>
      <w:r w:rsidRPr="00C80239">
        <w:t>eview 20</w:t>
      </w:r>
      <w:r>
        <w:t xml:space="preserve">19. This assessment was based on the emission </w:t>
      </w:r>
      <w:r w:rsidRPr="00A054EA">
        <w:t>inventor</w:t>
      </w:r>
      <w:r>
        <w:t>y</w:t>
      </w:r>
      <w:r w:rsidRPr="00A054EA">
        <w:t xml:space="preserve"> </w:t>
      </w:r>
      <w:r>
        <w:t xml:space="preserve">submitted under the NECD </w:t>
      </w:r>
      <w:r w:rsidRPr="00A054EA">
        <w:t>in 20</w:t>
      </w:r>
      <w:r>
        <w:t>20</w:t>
      </w:r>
      <w:r w:rsidRPr="00A054EA">
        <w:t xml:space="preserve"> by</w:t>
      </w:r>
      <w:r w:rsidR="00610486">
        <w:t xml:space="preserve"> Lithuania</w:t>
      </w:r>
      <w:r w:rsidRPr="00A054EA">
        <w:t xml:space="preserve"> </w:t>
      </w:r>
      <w:r w:rsidRPr="00FA7265">
        <w:t>pursuant to Directive (EU) 2016/2284</w:t>
      </w:r>
      <w:r>
        <w:t xml:space="preserve"> and their review report from the </w:t>
      </w:r>
      <w:r w:rsidRPr="00C80239">
        <w:t xml:space="preserve">NECD </w:t>
      </w:r>
      <w:r>
        <w:t>R</w:t>
      </w:r>
      <w:r w:rsidRPr="00C80239">
        <w:t>eview 201</w:t>
      </w:r>
      <w:r>
        <w:t>9.</w:t>
      </w:r>
    </w:p>
    <w:p w14:paraId="285CA77A" w14:textId="0B21C394" w:rsidR="009D7C35" w:rsidRPr="009D7C35" w:rsidRDefault="009D7C35" w:rsidP="009D7C35">
      <w:pPr>
        <w:pStyle w:val="StandardNum"/>
        <w:ind w:left="0"/>
      </w:pPr>
      <w:r w:rsidRPr="009D7C35">
        <w:t xml:space="preserve"> Resubmissions and other additional information provided by </w:t>
      </w:r>
      <w:r w:rsidR="001977CE">
        <w:t>Lithuania</w:t>
      </w:r>
      <w:r w:rsidR="00BF314F">
        <w:t xml:space="preserve"> </w:t>
      </w:r>
      <w:r w:rsidRPr="009D7C35">
        <w:t xml:space="preserve">during the review were taken into account until </w:t>
      </w:r>
      <w:r w:rsidR="00C93813" w:rsidRPr="007F4E77">
        <w:t>1 May</w:t>
      </w:r>
      <w:r w:rsidR="00C93813" w:rsidRPr="005C228E">
        <w:t xml:space="preserve"> 20</w:t>
      </w:r>
      <w:r w:rsidR="00C93813">
        <w:t>20</w:t>
      </w:r>
      <w:r w:rsidRPr="009D7C35">
        <w:t>.</w:t>
      </w:r>
    </w:p>
    <w:p w14:paraId="36F5DC35" w14:textId="1C51F935" w:rsidR="00B55C75" w:rsidRPr="00016EA1" w:rsidRDefault="00B55C75" w:rsidP="00B55C75">
      <w:pPr>
        <w:pStyle w:val="StandardNum"/>
        <w:ind w:left="0"/>
        <w:jc w:val="left"/>
      </w:pPr>
      <w:r>
        <w:fldChar w:fldCharType="begin"/>
      </w:r>
      <w:r>
        <w:instrText xml:space="preserve"> REF _Ref47104939 \h </w:instrText>
      </w:r>
      <w:r>
        <w:fldChar w:fldCharType="separate"/>
      </w:r>
      <w:r w:rsidR="00774955" w:rsidRPr="00016EA1">
        <w:t xml:space="preserve">Table </w:t>
      </w:r>
      <w:r w:rsidR="00774955">
        <w:rPr>
          <w:noProof/>
        </w:rPr>
        <w:t>5</w:t>
      </w:r>
      <w:r>
        <w:fldChar w:fldCharType="end"/>
      </w:r>
      <w:r>
        <w:t xml:space="preserve"> </w:t>
      </w:r>
      <w:r w:rsidRPr="00016EA1">
        <w:t>gives an overview of the number of recommendations, revised estimates, technical corrections and</w:t>
      </w:r>
      <w:r w:rsidRPr="003D1D47">
        <w:t xml:space="preserve"> </w:t>
      </w:r>
      <w:r>
        <w:t>unquantified</w:t>
      </w:r>
      <w:r w:rsidRPr="00016EA1">
        <w:t xml:space="preserve"> potential technical corrections for </w:t>
      </w:r>
      <w:r>
        <w:t>heavy metals and POPs</w:t>
      </w:r>
      <w:r w:rsidRPr="00016EA1">
        <w:t xml:space="preserve"> that are included in </w:t>
      </w:r>
      <w:r>
        <w:t>Table 6</w:t>
      </w:r>
      <w:r w:rsidRPr="00016EA1">
        <w:t xml:space="preserve">. </w:t>
      </w:r>
      <w:r>
        <w:t>It</w:t>
      </w:r>
      <w:r w:rsidRPr="00016EA1">
        <w:t xml:space="preserve"> also indicates in which </w:t>
      </w:r>
      <w:r>
        <w:t>NECD Review</w:t>
      </w:r>
      <w:r w:rsidRPr="00016EA1">
        <w:t xml:space="preserve"> these findings </w:t>
      </w:r>
      <w:r>
        <w:t>were</w:t>
      </w:r>
      <w:r w:rsidRPr="00016EA1">
        <w:t xml:space="preserve"> raised for the first time. Further, it shows how many findings </w:t>
      </w:r>
      <w:r>
        <w:t>have been implemented</w:t>
      </w:r>
      <w:r w:rsidRPr="00016EA1">
        <w:t xml:space="preserve"> by</w:t>
      </w:r>
      <w:r>
        <w:t xml:space="preserve"> Lithuania</w:t>
      </w:r>
      <w:r w:rsidRPr="00016EA1">
        <w:t xml:space="preserve"> with their inventory submission 2020. The table also shows the range of recommendations, revised estimates, technical corrections and </w:t>
      </w:r>
      <w:r>
        <w:t>unquantified</w:t>
      </w:r>
      <w:r w:rsidRPr="00016EA1">
        <w:t xml:space="preserve"> potential technical corrections that were included in the NECD </w:t>
      </w:r>
      <w:r>
        <w:t>R</w:t>
      </w:r>
      <w:r w:rsidRPr="00016EA1">
        <w:t>eview reports for other Member States</w:t>
      </w:r>
      <w:r>
        <w:t xml:space="preserve"> and the UK. </w:t>
      </w:r>
    </w:p>
    <w:p w14:paraId="0591C359" w14:textId="7CBA04C1" w:rsidR="00A155E0" w:rsidRDefault="00544470" w:rsidP="00BE0941">
      <w:pPr>
        <w:pStyle w:val="StandardNum"/>
        <w:ind w:left="0"/>
      </w:pPr>
      <w:r>
        <w:rPr>
          <w:lang w:val="de-AT"/>
        </w:rPr>
        <w:t xml:space="preserve"> </w:t>
      </w:r>
      <w:r w:rsidR="00E9646F" w:rsidRPr="00E9646F">
        <w:fldChar w:fldCharType="begin"/>
      </w:r>
      <w:r w:rsidR="00E9646F" w:rsidRPr="00E9646F">
        <w:instrText xml:space="preserve"> REF _Ref32925670 \h </w:instrText>
      </w:r>
      <w:r w:rsidR="00E9646F">
        <w:instrText xml:space="preserve"> \* MERGEFORMAT </w:instrText>
      </w:r>
      <w:r w:rsidR="00E9646F" w:rsidRPr="00E9646F">
        <w:fldChar w:fldCharType="separate"/>
      </w:r>
      <w:r w:rsidR="00774955" w:rsidRPr="005B3C97">
        <w:t xml:space="preserve">Table </w:t>
      </w:r>
      <w:r w:rsidR="00774955">
        <w:t>6</w:t>
      </w:r>
      <w:r w:rsidR="00E9646F" w:rsidRPr="00E9646F">
        <w:fldChar w:fldCharType="end"/>
      </w:r>
      <w:r>
        <w:rPr>
          <w:lang w:val="de-AT"/>
        </w:rPr>
        <w:t xml:space="preserve"> </w:t>
      </w:r>
      <w:r w:rsidR="0013649C">
        <w:t>provides all the recommendations</w:t>
      </w:r>
      <w:r w:rsidR="006E72F8">
        <w:t>, revised estimates, technical corrections and unquantified potential technical corrections</w:t>
      </w:r>
      <w:r w:rsidR="0013649C">
        <w:t xml:space="preserve"> from the technical expert review team related to POPs and HMs including those additionally made during the NECD Review 2020 and those not implemented from the NECD Review 2019.</w:t>
      </w:r>
    </w:p>
    <w:p w14:paraId="4A54B763" w14:textId="77777777" w:rsidR="00016EA1" w:rsidRPr="00016EA1" w:rsidRDefault="00016EA1" w:rsidP="00016EA1">
      <w:pPr>
        <w:pStyle w:val="StandardNum"/>
        <w:numPr>
          <w:ilvl w:val="0"/>
          <w:numId w:val="0"/>
        </w:numPr>
        <w:jc w:val="left"/>
      </w:pPr>
    </w:p>
    <w:p w14:paraId="2F0C3AD7" w14:textId="2EEB2E50" w:rsidR="00016EA1" w:rsidRDefault="00016EA1" w:rsidP="00016EA1">
      <w:pPr>
        <w:pStyle w:val="Antrat"/>
      </w:pPr>
      <w:bookmarkStart w:id="20" w:name="_Ref47104939"/>
      <w:bookmarkStart w:id="21" w:name="_Toc53738319"/>
      <w:r w:rsidRPr="00016EA1">
        <w:t xml:space="preserve">Table </w:t>
      </w:r>
      <w:r>
        <w:fldChar w:fldCharType="begin"/>
      </w:r>
      <w:r>
        <w:instrText>SEQ Table \* ARABIC</w:instrText>
      </w:r>
      <w:r>
        <w:fldChar w:fldCharType="separate"/>
      </w:r>
      <w:r w:rsidR="00774955">
        <w:rPr>
          <w:noProof/>
        </w:rPr>
        <w:t>5</w:t>
      </w:r>
      <w:r>
        <w:fldChar w:fldCharType="end"/>
      </w:r>
      <w:bookmarkEnd w:id="20"/>
      <w:r w:rsidR="0021477B">
        <w:rPr>
          <w:noProof/>
        </w:rPr>
        <w:t>:</w:t>
      </w:r>
      <w:r w:rsidRPr="00016EA1">
        <w:t xml:space="preserve"> Overview of </w:t>
      </w:r>
      <w:r w:rsidR="0013649C">
        <w:t xml:space="preserve">the </w:t>
      </w:r>
      <w:r w:rsidRPr="00016EA1">
        <w:t xml:space="preserve">number of findings from </w:t>
      </w:r>
      <w:r w:rsidR="0013649C">
        <w:t xml:space="preserve">the </w:t>
      </w:r>
      <w:r w:rsidRPr="00016EA1">
        <w:t xml:space="preserve">NECD </w:t>
      </w:r>
      <w:r w:rsidR="0013649C">
        <w:t>R</w:t>
      </w:r>
      <w:r w:rsidRPr="00016EA1">
        <w:t>eview 2020 and previous NECD reviews</w:t>
      </w:r>
      <w:r w:rsidR="0013649C">
        <w:t xml:space="preserve"> related to POPs and HMs</w:t>
      </w:r>
      <w:bookmarkEnd w:id="21"/>
    </w:p>
    <w:tbl>
      <w:tblPr>
        <w:tblW w:w="9360" w:type="dxa"/>
        <w:jc w:val="center"/>
        <w:tblLayout w:type="fixed"/>
        <w:tblLook w:val="0420" w:firstRow="1" w:lastRow="0" w:firstColumn="0" w:lastColumn="0" w:noHBand="0" w:noVBand="1"/>
      </w:tblPr>
      <w:tblGrid>
        <w:gridCol w:w="1410"/>
        <w:gridCol w:w="2260"/>
        <w:gridCol w:w="1138"/>
        <w:gridCol w:w="1138"/>
        <w:gridCol w:w="1138"/>
        <w:gridCol w:w="1138"/>
        <w:gridCol w:w="1138"/>
      </w:tblGrid>
      <w:tr w:rsidR="002117B2" w14:paraId="09B042D9" w14:textId="77777777">
        <w:trPr>
          <w:cantSplit/>
          <w:tblHeader/>
          <w:jc w:val="center"/>
        </w:trPr>
        <w:tc>
          <w:tcPr>
            <w:tcW w:w="3672" w:type="dxa"/>
            <w:gridSpan w:val="2"/>
            <w:vMerge w:val="restart"/>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033A16D6" w14:textId="77777777" w:rsidR="002117B2" w:rsidRDefault="002117B2">
            <w:pPr>
              <w:spacing w:after="0"/>
              <w:jc w:val="center"/>
            </w:pPr>
          </w:p>
        </w:tc>
        <w:tc>
          <w:tcPr>
            <w:tcW w:w="4552" w:type="dxa"/>
            <w:gridSpan w:val="4"/>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668AC337" w14:textId="229D214D" w:rsidR="002117B2" w:rsidRDefault="00616284">
            <w:pPr>
              <w:spacing w:after="0"/>
              <w:jc w:val="center"/>
            </w:pPr>
            <w:r>
              <w:rPr>
                <w:rFonts w:ascii="Calibri" w:eastAsia="Calibri" w:hAnsi="Calibri" w:cs="Calibri"/>
                <w:color w:val="000000"/>
                <w:sz w:val="20"/>
                <w:szCs w:val="20"/>
              </w:rPr>
              <w:t>Findings included in the 2020 Review Report by year o</w:t>
            </w:r>
            <w:r w:rsidR="006E72F8">
              <w:rPr>
                <w:rFonts w:ascii="Calibri" w:eastAsia="Calibri" w:hAnsi="Calibri" w:cs="Calibri"/>
                <w:color w:val="000000"/>
                <w:sz w:val="20"/>
                <w:szCs w:val="20"/>
              </w:rPr>
              <w:t>f</w:t>
            </w:r>
            <w:r>
              <w:rPr>
                <w:rFonts w:ascii="Calibri" w:eastAsia="Calibri" w:hAnsi="Calibri" w:cs="Calibri"/>
                <w:color w:val="000000"/>
                <w:sz w:val="20"/>
                <w:szCs w:val="20"/>
              </w:rPr>
              <w:t xml:space="preserve"> origin (see Table 6 below)</w:t>
            </w: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74700D04" w14:textId="77777777" w:rsidR="002117B2" w:rsidRDefault="00616284">
            <w:pPr>
              <w:spacing w:after="0"/>
              <w:jc w:val="center"/>
            </w:pPr>
            <w:r>
              <w:rPr>
                <w:rFonts w:ascii="Calibri" w:eastAsia="Calibri" w:hAnsi="Calibri" w:cs="Calibri"/>
                <w:color w:val="000000"/>
                <w:sz w:val="20"/>
                <w:szCs w:val="20"/>
              </w:rPr>
              <w:t>Implemented findings</w:t>
            </w:r>
          </w:p>
        </w:tc>
      </w:tr>
      <w:tr w:rsidR="002117B2" w14:paraId="6D00265B" w14:textId="77777777">
        <w:trPr>
          <w:cantSplit/>
          <w:tblHeader/>
          <w:jc w:val="center"/>
        </w:trPr>
        <w:tc>
          <w:tcPr>
            <w:tcW w:w="3672" w:type="dxa"/>
            <w:gridSpan w:val="2"/>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4A0143FE" w14:textId="77777777" w:rsidR="002117B2" w:rsidRDefault="002117B2">
            <w:pPr>
              <w:spacing w:after="0"/>
              <w:jc w:val="center"/>
            </w:pPr>
          </w:p>
        </w:tc>
        <w:tc>
          <w:tcPr>
            <w:tcW w:w="1138"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2D9A33DA" w14:textId="77777777" w:rsidR="002117B2" w:rsidRDefault="00616284">
            <w:pPr>
              <w:spacing w:after="0"/>
              <w:jc w:val="center"/>
            </w:pPr>
            <w:r>
              <w:rPr>
                <w:rFonts w:ascii="Calibri" w:eastAsia="Calibri" w:hAnsi="Calibri" w:cs="Calibri"/>
                <w:color w:val="000000"/>
                <w:sz w:val="20"/>
                <w:szCs w:val="20"/>
              </w:rPr>
              <w:t>TC*</w:t>
            </w:r>
          </w:p>
        </w:tc>
        <w:tc>
          <w:tcPr>
            <w:tcW w:w="1138"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0FC3FE1A" w14:textId="77777777" w:rsidR="002117B2" w:rsidRDefault="00616284">
            <w:pPr>
              <w:spacing w:after="0"/>
              <w:jc w:val="center"/>
            </w:pPr>
            <w:r>
              <w:rPr>
                <w:rFonts w:ascii="Calibri" w:eastAsia="Calibri" w:hAnsi="Calibri" w:cs="Calibri"/>
                <w:color w:val="000000"/>
                <w:sz w:val="20"/>
                <w:szCs w:val="20"/>
              </w:rPr>
              <w:t>RE*</w:t>
            </w:r>
          </w:p>
        </w:tc>
        <w:tc>
          <w:tcPr>
            <w:tcW w:w="1138"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6CF7DEFE" w14:textId="77777777" w:rsidR="002117B2" w:rsidRDefault="00616284">
            <w:pPr>
              <w:spacing w:after="0"/>
              <w:jc w:val="center"/>
            </w:pPr>
            <w:r>
              <w:rPr>
                <w:rFonts w:ascii="Calibri" w:eastAsia="Calibri" w:hAnsi="Calibri" w:cs="Calibri"/>
                <w:color w:val="000000"/>
                <w:sz w:val="20"/>
                <w:szCs w:val="20"/>
              </w:rPr>
              <w:t>UPTC*</w:t>
            </w:r>
          </w:p>
        </w:tc>
        <w:tc>
          <w:tcPr>
            <w:tcW w:w="1138"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7C32B546" w14:textId="77777777" w:rsidR="002117B2" w:rsidRDefault="00616284">
            <w:pPr>
              <w:spacing w:after="0"/>
              <w:jc w:val="center"/>
            </w:pPr>
            <w:r>
              <w:rPr>
                <w:rFonts w:ascii="Calibri" w:eastAsia="Calibri" w:hAnsi="Calibri" w:cs="Calibri"/>
                <w:color w:val="000000"/>
                <w:sz w:val="20"/>
                <w:szCs w:val="20"/>
              </w:rPr>
              <w:t>Recom.*</w:t>
            </w:r>
          </w:p>
        </w:tc>
        <w:tc>
          <w:tcPr>
            <w:tcW w:w="1138" w:type="dxa"/>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40613A23" w14:textId="77777777" w:rsidR="002117B2" w:rsidRDefault="002117B2">
            <w:pPr>
              <w:spacing w:after="0"/>
              <w:jc w:val="center"/>
            </w:pPr>
          </w:p>
        </w:tc>
      </w:tr>
      <w:tr w:rsidR="002117B2" w14:paraId="4D3D7E3F" w14:textId="77777777">
        <w:trPr>
          <w:cantSplit/>
          <w:jc w:val="center"/>
        </w:trPr>
        <w:tc>
          <w:tcPr>
            <w:tcW w:w="1411" w:type="dxa"/>
            <w:vMerge w:val="restart"/>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39CC6280" w14:textId="77777777" w:rsidR="002117B2" w:rsidRDefault="00616284">
            <w:pPr>
              <w:spacing w:before="40" w:after="40"/>
              <w:ind w:left="100" w:right="100"/>
              <w:jc w:val="center"/>
            </w:pPr>
            <w:r>
              <w:rPr>
                <w:rFonts w:ascii="Calibri" w:eastAsia="Calibri" w:hAnsi="Calibri" w:cs="Calibri"/>
                <w:color w:val="111111"/>
                <w:sz w:val="20"/>
                <w:szCs w:val="20"/>
              </w:rPr>
              <w:t>Finding first raised in:</w:t>
            </w:r>
          </w:p>
        </w:tc>
        <w:tc>
          <w:tcPr>
            <w:tcW w:w="2261"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70EBA2A3" w14:textId="77777777" w:rsidR="002117B2" w:rsidRDefault="00616284">
            <w:pPr>
              <w:spacing w:before="40" w:after="40"/>
              <w:ind w:left="100" w:right="100"/>
              <w:jc w:val="center"/>
            </w:pPr>
            <w:r>
              <w:rPr>
                <w:rFonts w:ascii="Calibri" w:eastAsia="Calibri" w:hAnsi="Calibri" w:cs="Calibri"/>
                <w:color w:val="111111"/>
                <w:sz w:val="20"/>
                <w:szCs w:val="20"/>
              </w:rPr>
              <w:t>NECD Review 2017</w:t>
            </w:r>
          </w:p>
        </w:tc>
        <w:tc>
          <w:tcPr>
            <w:tcW w:w="1138" w:type="dxa"/>
            <w:tcBorders>
              <w:top w:val="single" w:sz="8" w:space="0" w:color="000000"/>
              <w:left w:val="single" w:sz="8" w:space="0" w:color="000000"/>
              <w:bottom w:val="single" w:sz="8" w:space="0" w:color="000000"/>
              <w:right w:val="single" w:sz="8" w:space="0" w:color="000000"/>
            </w:tcBorders>
            <w:shd w:val="clear" w:color="auto" w:fill="F4B084"/>
            <w:tcMar>
              <w:top w:w="0" w:type="dxa"/>
              <w:left w:w="0" w:type="dxa"/>
              <w:bottom w:w="0" w:type="dxa"/>
              <w:right w:w="0" w:type="dxa"/>
            </w:tcMar>
            <w:vAlign w:val="center"/>
          </w:tcPr>
          <w:p w14:paraId="1ACB34C3"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4B084"/>
            <w:tcMar>
              <w:top w:w="0" w:type="dxa"/>
              <w:left w:w="0" w:type="dxa"/>
              <w:bottom w:w="0" w:type="dxa"/>
              <w:right w:w="0" w:type="dxa"/>
            </w:tcMar>
            <w:vAlign w:val="center"/>
          </w:tcPr>
          <w:p w14:paraId="00B3E5E6"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4B084"/>
            <w:tcMar>
              <w:top w:w="0" w:type="dxa"/>
              <w:left w:w="0" w:type="dxa"/>
              <w:bottom w:w="0" w:type="dxa"/>
              <w:right w:w="0" w:type="dxa"/>
            </w:tcMar>
            <w:vAlign w:val="center"/>
          </w:tcPr>
          <w:p w14:paraId="10875FDB"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4B084"/>
            <w:tcMar>
              <w:top w:w="0" w:type="dxa"/>
              <w:left w:w="0" w:type="dxa"/>
              <w:bottom w:w="0" w:type="dxa"/>
              <w:right w:w="0" w:type="dxa"/>
            </w:tcMar>
            <w:vAlign w:val="center"/>
          </w:tcPr>
          <w:p w14:paraId="347509FC" w14:textId="77777777" w:rsidR="002117B2" w:rsidRDefault="00616284">
            <w:pPr>
              <w:spacing w:before="40" w:after="40"/>
              <w:ind w:left="100" w:right="100"/>
              <w:jc w:val="center"/>
            </w:pPr>
            <w:r>
              <w:rPr>
                <w:rFonts w:ascii="Calibri" w:eastAsia="Calibri" w:hAnsi="Calibri" w:cs="Calibri"/>
                <w:color w:val="111111"/>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E2EFDA"/>
            <w:tcMar>
              <w:top w:w="0" w:type="dxa"/>
              <w:left w:w="0" w:type="dxa"/>
              <w:bottom w:w="0" w:type="dxa"/>
              <w:right w:w="0" w:type="dxa"/>
            </w:tcMar>
            <w:vAlign w:val="center"/>
          </w:tcPr>
          <w:p w14:paraId="090CDB16" w14:textId="77777777" w:rsidR="002117B2" w:rsidRDefault="00616284">
            <w:pPr>
              <w:spacing w:before="40" w:after="40"/>
              <w:ind w:left="100" w:right="100"/>
              <w:jc w:val="center"/>
            </w:pPr>
            <w:r>
              <w:rPr>
                <w:rFonts w:ascii="Calibri" w:eastAsia="Calibri" w:hAnsi="Calibri" w:cs="Calibri"/>
                <w:color w:val="111111"/>
                <w:sz w:val="20"/>
                <w:szCs w:val="20"/>
              </w:rPr>
              <w:t>0</w:t>
            </w:r>
          </w:p>
        </w:tc>
      </w:tr>
      <w:tr w:rsidR="002117B2" w14:paraId="1E72F0E2" w14:textId="77777777">
        <w:trPr>
          <w:cantSplit/>
          <w:jc w:val="center"/>
        </w:trPr>
        <w:tc>
          <w:tcPr>
            <w:tcW w:w="1411" w:type="dxa"/>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4B210F44" w14:textId="77777777" w:rsidR="002117B2" w:rsidRDefault="002117B2">
            <w:pPr>
              <w:spacing w:before="40" w:after="40"/>
              <w:ind w:left="100" w:right="100"/>
              <w:jc w:val="center"/>
            </w:pPr>
          </w:p>
        </w:tc>
        <w:tc>
          <w:tcPr>
            <w:tcW w:w="2261"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4E5373BA" w14:textId="77777777" w:rsidR="002117B2" w:rsidRDefault="00616284">
            <w:pPr>
              <w:spacing w:before="40" w:after="40"/>
              <w:ind w:left="100" w:right="100"/>
              <w:jc w:val="center"/>
            </w:pPr>
            <w:r>
              <w:rPr>
                <w:rFonts w:ascii="Calibri" w:eastAsia="Calibri" w:hAnsi="Calibri" w:cs="Calibri"/>
                <w:color w:val="111111"/>
                <w:sz w:val="20"/>
                <w:szCs w:val="20"/>
              </w:rPr>
              <w:t>NECD Review 2018</w:t>
            </w:r>
          </w:p>
        </w:tc>
        <w:tc>
          <w:tcPr>
            <w:tcW w:w="1138" w:type="dxa"/>
            <w:tcBorders>
              <w:top w:val="single" w:sz="8" w:space="0" w:color="000000"/>
              <w:left w:val="single" w:sz="8" w:space="0" w:color="000000"/>
              <w:bottom w:val="single" w:sz="8" w:space="0" w:color="000000"/>
              <w:right w:val="single" w:sz="8" w:space="0" w:color="000000"/>
            </w:tcBorders>
            <w:shd w:val="clear" w:color="auto" w:fill="F4CBAD"/>
            <w:tcMar>
              <w:top w:w="0" w:type="dxa"/>
              <w:left w:w="0" w:type="dxa"/>
              <w:bottom w:w="0" w:type="dxa"/>
              <w:right w:w="0" w:type="dxa"/>
            </w:tcMar>
            <w:vAlign w:val="center"/>
          </w:tcPr>
          <w:p w14:paraId="728B801B" w14:textId="77777777" w:rsidR="002117B2" w:rsidRDefault="00616284">
            <w:pPr>
              <w:spacing w:before="40" w:after="40"/>
              <w:ind w:left="100" w:right="100"/>
              <w:jc w:val="center"/>
            </w:pPr>
            <w:r>
              <w:rPr>
                <w:rFonts w:ascii="Calibri" w:eastAsia="Calibri" w:hAnsi="Calibri" w:cs="Calibri"/>
                <w:color w:val="111111"/>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4CBAD"/>
            <w:tcMar>
              <w:top w:w="0" w:type="dxa"/>
              <w:left w:w="0" w:type="dxa"/>
              <w:bottom w:w="0" w:type="dxa"/>
              <w:right w:w="0" w:type="dxa"/>
            </w:tcMar>
            <w:vAlign w:val="center"/>
          </w:tcPr>
          <w:p w14:paraId="6CBE8E55" w14:textId="77777777" w:rsidR="002117B2" w:rsidRDefault="00616284">
            <w:pPr>
              <w:spacing w:before="40" w:after="40"/>
              <w:ind w:left="100" w:right="100"/>
              <w:jc w:val="center"/>
            </w:pPr>
            <w:r>
              <w:rPr>
                <w:rFonts w:ascii="Calibri" w:eastAsia="Calibri" w:hAnsi="Calibri" w:cs="Calibri"/>
                <w:color w:val="111111"/>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4CBAD"/>
            <w:tcMar>
              <w:top w:w="0" w:type="dxa"/>
              <w:left w:w="0" w:type="dxa"/>
              <w:bottom w:w="0" w:type="dxa"/>
              <w:right w:w="0" w:type="dxa"/>
            </w:tcMar>
            <w:vAlign w:val="center"/>
          </w:tcPr>
          <w:p w14:paraId="65673CE7"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4CBAD"/>
            <w:tcMar>
              <w:top w:w="0" w:type="dxa"/>
              <w:left w:w="0" w:type="dxa"/>
              <w:bottom w:w="0" w:type="dxa"/>
              <w:right w:w="0" w:type="dxa"/>
            </w:tcMar>
            <w:vAlign w:val="center"/>
          </w:tcPr>
          <w:p w14:paraId="449844A8" w14:textId="77777777" w:rsidR="002117B2" w:rsidRDefault="00616284">
            <w:pPr>
              <w:spacing w:before="40" w:after="40"/>
              <w:ind w:left="100" w:right="100"/>
              <w:jc w:val="center"/>
            </w:pPr>
            <w:r>
              <w:rPr>
                <w:rFonts w:ascii="Calibri" w:eastAsia="Calibri" w:hAnsi="Calibri" w:cs="Calibri"/>
                <w:color w:val="111111"/>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E2EFDA"/>
            <w:tcMar>
              <w:top w:w="0" w:type="dxa"/>
              <w:left w:w="0" w:type="dxa"/>
              <w:bottom w:w="0" w:type="dxa"/>
              <w:right w:w="0" w:type="dxa"/>
            </w:tcMar>
            <w:vAlign w:val="center"/>
          </w:tcPr>
          <w:p w14:paraId="208EB999" w14:textId="77777777" w:rsidR="002117B2" w:rsidRDefault="00616284">
            <w:pPr>
              <w:spacing w:before="40" w:after="40"/>
              <w:ind w:left="100" w:right="100"/>
              <w:jc w:val="center"/>
            </w:pPr>
            <w:r>
              <w:rPr>
                <w:rFonts w:ascii="Calibri" w:eastAsia="Calibri" w:hAnsi="Calibri" w:cs="Calibri"/>
                <w:color w:val="111111"/>
                <w:sz w:val="20"/>
                <w:szCs w:val="20"/>
              </w:rPr>
              <w:t>2</w:t>
            </w:r>
          </w:p>
        </w:tc>
      </w:tr>
      <w:tr w:rsidR="002117B2" w14:paraId="4703475A" w14:textId="77777777">
        <w:trPr>
          <w:cantSplit/>
          <w:jc w:val="center"/>
        </w:trPr>
        <w:tc>
          <w:tcPr>
            <w:tcW w:w="1411" w:type="dxa"/>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3A8FE0D3" w14:textId="77777777" w:rsidR="002117B2" w:rsidRDefault="002117B2">
            <w:pPr>
              <w:spacing w:before="40" w:after="40"/>
              <w:ind w:left="100" w:right="100"/>
              <w:jc w:val="center"/>
            </w:pPr>
          </w:p>
        </w:tc>
        <w:tc>
          <w:tcPr>
            <w:tcW w:w="2261"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3CB0C682" w14:textId="77777777" w:rsidR="002117B2" w:rsidRDefault="00616284">
            <w:pPr>
              <w:spacing w:before="40" w:after="40"/>
              <w:ind w:left="100" w:right="100"/>
              <w:jc w:val="center"/>
            </w:pPr>
            <w:r>
              <w:rPr>
                <w:rFonts w:ascii="Calibri" w:eastAsia="Calibri" w:hAnsi="Calibri" w:cs="Calibri"/>
                <w:color w:val="111111"/>
                <w:sz w:val="20"/>
                <w:szCs w:val="20"/>
              </w:rPr>
              <w:t>NECD Review 2019</w:t>
            </w:r>
          </w:p>
        </w:tc>
        <w:tc>
          <w:tcPr>
            <w:tcW w:w="1138" w:type="dxa"/>
            <w:tcBorders>
              <w:top w:val="single" w:sz="8" w:space="0" w:color="000000"/>
              <w:left w:val="single" w:sz="8" w:space="0" w:color="000000"/>
              <w:bottom w:val="single" w:sz="8" w:space="0" w:color="000000"/>
              <w:right w:val="single" w:sz="8" w:space="0" w:color="000000"/>
            </w:tcBorders>
            <w:shd w:val="clear" w:color="auto" w:fill="FCE4D6"/>
            <w:tcMar>
              <w:top w:w="0" w:type="dxa"/>
              <w:left w:w="0" w:type="dxa"/>
              <w:bottom w:w="0" w:type="dxa"/>
              <w:right w:w="0" w:type="dxa"/>
            </w:tcMar>
            <w:vAlign w:val="center"/>
          </w:tcPr>
          <w:p w14:paraId="64BC4A7B"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CE4D6"/>
            <w:tcMar>
              <w:top w:w="0" w:type="dxa"/>
              <w:left w:w="0" w:type="dxa"/>
              <w:bottom w:w="0" w:type="dxa"/>
              <w:right w:w="0" w:type="dxa"/>
            </w:tcMar>
            <w:vAlign w:val="center"/>
          </w:tcPr>
          <w:p w14:paraId="2682480C"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CE4D6"/>
            <w:tcMar>
              <w:top w:w="0" w:type="dxa"/>
              <w:left w:w="0" w:type="dxa"/>
              <w:bottom w:w="0" w:type="dxa"/>
              <w:right w:w="0" w:type="dxa"/>
            </w:tcMar>
            <w:vAlign w:val="center"/>
          </w:tcPr>
          <w:p w14:paraId="6F12B565" w14:textId="77777777" w:rsidR="002117B2" w:rsidRDefault="00616284">
            <w:pPr>
              <w:spacing w:before="40" w:after="40"/>
              <w:ind w:left="100" w:right="100"/>
              <w:jc w:val="center"/>
            </w:pPr>
            <w:r>
              <w:rPr>
                <w:rFonts w:ascii="Calibri" w:eastAsia="Calibri" w:hAnsi="Calibri" w:cs="Calibri"/>
                <w:color w:val="111111"/>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CE4D6"/>
            <w:tcMar>
              <w:top w:w="0" w:type="dxa"/>
              <w:left w:w="0" w:type="dxa"/>
              <w:bottom w:w="0" w:type="dxa"/>
              <w:right w:w="0" w:type="dxa"/>
            </w:tcMar>
            <w:vAlign w:val="center"/>
          </w:tcPr>
          <w:p w14:paraId="3BC5D702" w14:textId="77777777" w:rsidR="002117B2" w:rsidRDefault="00616284">
            <w:pPr>
              <w:spacing w:before="40" w:after="40"/>
              <w:ind w:left="100" w:right="100"/>
              <w:jc w:val="center"/>
            </w:pPr>
            <w:r>
              <w:rPr>
                <w:rFonts w:ascii="Calibri" w:eastAsia="Calibri" w:hAnsi="Calibri" w:cs="Calibri"/>
                <w:color w:val="111111"/>
                <w:sz w:val="20"/>
                <w:szCs w:val="20"/>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E2EFDA"/>
            <w:tcMar>
              <w:top w:w="0" w:type="dxa"/>
              <w:left w:w="0" w:type="dxa"/>
              <w:bottom w:w="0" w:type="dxa"/>
              <w:right w:w="0" w:type="dxa"/>
            </w:tcMar>
            <w:vAlign w:val="center"/>
          </w:tcPr>
          <w:p w14:paraId="2FD6302F" w14:textId="77777777" w:rsidR="002117B2" w:rsidRDefault="00616284">
            <w:pPr>
              <w:spacing w:before="40" w:after="40"/>
              <w:ind w:left="100" w:right="100"/>
              <w:jc w:val="center"/>
            </w:pPr>
            <w:r>
              <w:rPr>
                <w:rFonts w:ascii="Calibri" w:eastAsia="Calibri" w:hAnsi="Calibri" w:cs="Calibri"/>
                <w:color w:val="111111"/>
                <w:sz w:val="20"/>
                <w:szCs w:val="20"/>
              </w:rPr>
              <w:t>8</w:t>
            </w:r>
          </w:p>
        </w:tc>
      </w:tr>
      <w:tr w:rsidR="002117B2" w14:paraId="0044A0A3" w14:textId="77777777">
        <w:trPr>
          <w:cantSplit/>
          <w:jc w:val="center"/>
        </w:trPr>
        <w:tc>
          <w:tcPr>
            <w:tcW w:w="1411" w:type="dxa"/>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63D51E16" w14:textId="77777777" w:rsidR="002117B2" w:rsidRDefault="002117B2">
            <w:pPr>
              <w:spacing w:before="40" w:after="40"/>
              <w:ind w:left="100" w:right="100"/>
              <w:jc w:val="center"/>
            </w:pPr>
          </w:p>
        </w:tc>
        <w:tc>
          <w:tcPr>
            <w:tcW w:w="2261"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01F01C65" w14:textId="77777777" w:rsidR="002117B2" w:rsidRDefault="00616284">
            <w:pPr>
              <w:spacing w:before="40" w:after="40"/>
              <w:ind w:left="100" w:right="100"/>
              <w:jc w:val="center"/>
            </w:pPr>
            <w:r>
              <w:rPr>
                <w:rFonts w:ascii="Calibri" w:eastAsia="Calibri" w:hAnsi="Calibri" w:cs="Calibri"/>
                <w:color w:val="111111"/>
                <w:sz w:val="20"/>
                <w:szCs w:val="20"/>
              </w:rPr>
              <w:t>NECD Review 2020</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7DFF78" w14:textId="77777777" w:rsidR="002117B2" w:rsidRDefault="00616284">
            <w:pPr>
              <w:spacing w:before="40" w:after="40"/>
              <w:ind w:left="100" w:right="100"/>
              <w:jc w:val="center"/>
            </w:pPr>
            <w:r>
              <w:rPr>
                <w:rFonts w:ascii="Calibri" w:eastAsia="Calibri" w:hAnsi="Calibri" w:cs="Calibri"/>
                <w:color w:val="111111"/>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BE81F3"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8C32A5"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7FEF4E" w14:textId="77777777" w:rsidR="002117B2" w:rsidRDefault="00616284">
            <w:pPr>
              <w:spacing w:before="40" w:after="40"/>
              <w:ind w:left="100" w:right="100"/>
              <w:jc w:val="center"/>
            </w:pPr>
            <w:r>
              <w:rPr>
                <w:rFonts w:ascii="Calibri" w:eastAsia="Calibri" w:hAnsi="Calibri" w:cs="Calibri"/>
                <w:color w:val="111111"/>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0C7DD8" w14:textId="77777777" w:rsidR="002117B2" w:rsidRDefault="00616284">
            <w:pPr>
              <w:spacing w:before="40" w:after="40"/>
              <w:ind w:left="100" w:right="100"/>
              <w:jc w:val="center"/>
            </w:pPr>
            <w:r>
              <w:rPr>
                <w:rFonts w:ascii="Calibri" w:eastAsia="Calibri" w:hAnsi="Calibri" w:cs="Calibri"/>
                <w:color w:val="111111"/>
                <w:sz w:val="20"/>
                <w:szCs w:val="20"/>
              </w:rPr>
              <w:t>n/a</w:t>
            </w:r>
          </w:p>
        </w:tc>
      </w:tr>
      <w:tr w:rsidR="002117B2" w14:paraId="0D7CF015" w14:textId="77777777">
        <w:trPr>
          <w:cantSplit/>
          <w:jc w:val="center"/>
        </w:trPr>
        <w:tc>
          <w:tcPr>
            <w:tcW w:w="3672" w:type="dxa"/>
            <w:gridSpan w:val="2"/>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63D34688" w14:textId="77777777" w:rsidR="002117B2" w:rsidRDefault="00616284">
            <w:pPr>
              <w:spacing w:before="40" w:after="40"/>
              <w:ind w:left="100" w:right="100"/>
              <w:jc w:val="center"/>
            </w:pPr>
            <w:r>
              <w:rPr>
                <w:rFonts w:ascii="Calibri" w:eastAsia="Calibri" w:hAnsi="Calibri" w:cs="Calibri"/>
                <w:color w:val="111111"/>
                <w:sz w:val="20"/>
                <w:szCs w:val="20"/>
              </w:rPr>
              <w:t>Total from NECD Review 2020</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45CDE3" w14:textId="77777777" w:rsidR="002117B2" w:rsidRDefault="00616284">
            <w:pPr>
              <w:spacing w:before="40" w:after="40"/>
              <w:ind w:left="100" w:right="100"/>
              <w:jc w:val="center"/>
            </w:pPr>
            <w:r>
              <w:rPr>
                <w:rFonts w:ascii="Calibri" w:eastAsia="Calibri" w:hAnsi="Calibri" w:cs="Calibri"/>
                <w:color w:val="111111"/>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F856B3" w14:textId="77777777" w:rsidR="002117B2" w:rsidRDefault="00616284">
            <w:pPr>
              <w:spacing w:before="40" w:after="40"/>
              <w:ind w:left="100" w:right="100"/>
              <w:jc w:val="center"/>
            </w:pPr>
            <w:r>
              <w:rPr>
                <w:rFonts w:ascii="Calibri" w:eastAsia="Calibri" w:hAnsi="Calibri" w:cs="Calibri"/>
                <w:color w:val="111111"/>
                <w:sz w:val="20"/>
                <w:szCs w:val="20"/>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231E0A" w14:textId="77777777" w:rsidR="002117B2" w:rsidRDefault="00616284">
            <w:pPr>
              <w:spacing w:before="40" w:after="40"/>
              <w:ind w:left="100" w:right="100"/>
              <w:jc w:val="center"/>
            </w:pPr>
            <w:r>
              <w:rPr>
                <w:rFonts w:ascii="Calibri" w:eastAsia="Calibri" w:hAnsi="Calibri" w:cs="Calibri"/>
                <w:color w:val="111111"/>
                <w:sz w:val="20"/>
                <w:szCs w:val="20"/>
              </w:rPr>
              <w:t>1</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446024" w14:textId="77777777" w:rsidR="002117B2" w:rsidRDefault="00616284">
            <w:pPr>
              <w:spacing w:before="40" w:after="40"/>
              <w:ind w:left="100" w:right="100"/>
              <w:jc w:val="center"/>
            </w:pPr>
            <w:r>
              <w:rPr>
                <w:rFonts w:ascii="Calibri" w:eastAsia="Calibri" w:hAnsi="Calibri" w:cs="Calibri"/>
                <w:color w:val="111111"/>
                <w:sz w:val="20"/>
                <w:szCs w:val="20"/>
              </w:rPr>
              <w:t>10</w:t>
            </w: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291E51" w14:textId="77777777" w:rsidR="002117B2" w:rsidRDefault="002117B2">
            <w:pPr>
              <w:spacing w:before="40" w:after="40"/>
              <w:ind w:left="100" w:right="100"/>
              <w:jc w:val="center"/>
            </w:pPr>
          </w:p>
        </w:tc>
      </w:tr>
      <w:tr w:rsidR="002117B2" w14:paraId="28C94FD6" w14:textId="77777777">
        <w:trPr>
          <w:cantSplit/>
          <w:jc w:val="center"/>
        </w:trPr>
        <w:tc>
          <w:tcPr>
            <w:tcW w:w="3672" w:type="dxa"/>
            <w:gridSpan w:val="2"/>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0D130344" w14:textId="77777777" w:rsidR="002117B2" w:rsidRDefault="00616284">
            <w:pPr>
              <w:spacing w:before="40" w:after="40"/>
              <w:ind w:left="100" w:right="100"/>
              <w:jc w:val="center"/>
            </w:pPr>
            <w:r>
              <w:rPr>
                <w:rFonts w:ascii="Calibri" w:eastAsia="Calibri" w:hAnsi="Calibri" w:cs="Calibri"/>
                <w:color w:val="111111"/>
                <w:sz w:val="20"/>
                <w:szCs w:val="20"/>
              </w:rPr>
              <w:t>(Range for All Member States and the UK)</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70EC92" w14:textId="77777777" w:rsidR="002117B2" w:rsidRDefault="00616284">
            <w:pPr>
              <w:spacing w:before="40" w:after="40"/>
              <w:ind w:left="100" w:right="100"/>
              <w:jc w:val="center"/>
            </w:pPr>
            <w:r>
              <w:rPr>
                <w:rFonts w:ascii="Calibri" w:eastAsia="Calibri" w:hAnsi="Calibri" w:cs="Calibri"/>
                <w:b/>
                <w:color w:val="111111"/>
                <w:sz w:val="20"/>
                <w:szCs w:val="20"/>
              </w:rPr>
              <w:t>(0-2)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305E9A" w14:textId="77777777" w:rsidR="002117B2" w:rsidRDefault="00616284">
            <w:pPr>
              <w:spacing w:before="40" w:after="40"/>
              <w:ind w:left="100" w:right="100"/>
              <w:jc w:val="center"/>
            </w:pPr>
            <w:r>
              <w:rPr>
                <w:rFonts w:ascii="Calibri" w:eastAsia="Calibri" w:hAnsi="Calibri" w:cs="Calibri"/>
                <w:b/>
                <w:color w:val="111111"/>
                <w:sz w:val="20"/>
                <w:szCs w:val="20"/>
              </w:rPr>
              <w:t>(0-5)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AA1150" w14:textId="77777777" w:rsidR="002117B2" w:rsidRDefault="00616284">
            <w:pPr>
              <w:spacing w:before="40" w:after="40"/>
              <w:ind w:left="100" w:right="100"/>
              <w:jc w:val="center"/>
            </w:pPr>
            <w:r>
              <w:rPr>
                <w:rFonts w:ascii="Calibri" w:eastAsia="Calibri" w:hAnsi="Calibri" w:cs="Calibri"/>
                <w:b/>
                <w:color w:val="111111"/>
                <w:sz w:val="20"/>
                <w:szCs w:val="20"/>
              </w:rPr>
              <w:t>(0-2)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66FBF6" w14:textId="77777777" w:rsidR="002117B2" w:rsidRDefault="00616284">
            <w:pPr>
              <w:spacing w:before="40" w:after="40"/>
              <w:ind w:left="100" w:right="100"/>
              <w:jc w:val="center"/>
            </w:pPr>
            <w:r>
              <w:rPr>
                <w:rFonts w:ascii="Calibri" w:eastAsia="Calibri" w:hAnsi="Calibri" w:cs="Calibri"/>
                <w:b/>
                <w:color w:val="111111"/>
                <w:sz w:val="20"/>
                <w:szCs w:val="20"/>
              </w:rPr>
              <w:t>(1-20)</w:t>
            </w:r>
          </w:p>
        </w:tc>
        <w:tc>
          <w:tcPr>
            <w:tcW w:w="113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DCD44C" w14:textId="77777777" w:rsidR="002117B2" w:rsidRDefault="002117B2">
            <w:pPr>
              <w:spacing w:before="40" w:after="40"/>
              <w:ind w:left="100" w:right="100"/>
              <w:jc w:val="center"/>
            </w:pPr>
          </w:p>
        </w:tc>
      </w:tr>
    </w:tbl>
    <w:p w14:paraId="4E0891B1" w14:textId="77777777" w:rsidR="00A155E0" w:rsidRPr="00A155E0" w:rsidRDefault="00A155E0" w:rsidP="00A155E0">
      <w:r w:rsidRPr="00101820">
        <w:rPr>
          <w:sz w:val="18"/>
          <w:szCs w:val="18"/>
        </w:rPr>
        <w:t xml:space="preserve">* TC = Technical Correction, RE = Revised Estimate, </w:t>
      </w:r>
      <w:r w:rsidR="006A556C">
        <w:rPr>
          <w:sz w:val="18"/>
          <w:szCs w:val="18"/>
        </w:rPr>
        <w:t>U</w:t>
      </w:r>
      <w:r w:rsidRPr="00101820">
        <w:rPr>
          <w:sz w:val="18"/>
          <w:szCs w:val="18"/>
        </w:rPr>
        <w:t xml:space="preserve">PTC = </w:t>
      </w:r>
      <w:r w:rsidR="006A556C" w:rsidRPr="006A556C">
        <w:rPr>
          <w:sz w:val="18"/>
          <w:szCs w:val="18"/>
        </w:rPr>
        <w:t>Unquantified Potential Technical Correction</w:t>
      </w:r>
      <w:r w:rsidRPr="00101820">
        <w:rPr>
          <w:sz w:val="18"/>
          <w:szCs w:val="18"/>
        </w:rPr>
        <w:t>, Recom. = Recommendation</w:t>
      </w:r>
    </w:p>
    <w:p w14:paraId="39CA220C" w14:textId="77777777" w:rsidR="006C1620" w:rsidRDefault="006C1620" w:rsidP="00544470">
      <w:pPr>
        <w:pStyle w:val="StandardNum"/>
        <w:numPr>
          <w:ilvl w:val="0"/>
          <w:numId w:val="0"/>
        </w:numPr>
        <w:sectPr w:rsidR="006C1620" w:rsidSect="00C93813">
          <w:pgSz w:w="11906" w:h="16838"/>
          <w:pgMar w:top="1440" w:right="1440" w:bottom="1440" w:left="1440" w:header="708" w:footer="708" w:gutter="0"/>
          <w:cols w:space="708"/>
          <w:docGrid w:linePitch="360"/>
        </w:sectPr>
      </w:pPr>
    </w:p>
    <w:p w14:paraId="1A88EBAC" w14:textId="5CBA1D36" w:rsidR="00972F8A" w:rsidRPr="005B3C97" w:rsidRDefault="00BE0941" w:rsidP="005B3C97">
      <w:pPr>
        <w:pStyle w:val="Antrat"/>
      </w:pPr>
      <w:bookmarkStart w:id="22" w:name="_Ref32925670"/>
      <w:bookmarkStart w:id="23" w:name="_Toc53738320"/>
      <w:r w:rsidRPr="005B3C97">
        <w:t xml:space="preserve">Table </w:t>
      </w:r>
      <w:r>
        <w:fldChar w:fldCharType="begin"/>
      </w:r>
      <w:r>
        <w:instrText>SEQ Table \* ARABIC</w:instrText>
      </w:r>
      <w:r>
        <w:fldChar w:fldCharType="separate"/>
      </w:r>
      <w:r w:rsidR="00774955">
        <w:rPr>
          <w:noProof/>
        </w:rPr>
        <w:t>6</w:t>
      </w:r>
      <w:r>
        <w:fldChar w:fldCharType="end"/>
      </w:r>
      <w:bookmarkEnd w:id="22"/>
      <w:r w:rsidRPr="005B3C97">
        <w:t xml:space="preserve">: </w:t>
      </w:r>
      <w:r w:rsidR="006E72F8" w:rsidRPr="006E72F8">
        <w:t>All recommendations, revised estimates, technical corrections and unquantified potential technical corrections  including those additionally made during the NECD Review 2020 and those not implemented from previous reviews, for heavy metals and POPs</w:t>
      </w:r>
      <w:bookmarkEnd w:id="23"/>
    </w:p>
    <w:tbl>
      <w:tblPr>
        <w:tblW w:w="14400" w:type="dxa"/>
        <w:jc w:val="center"/>
        <w:tblLayout w:type="fixed"/>
        <w:tblLook w:val="0420" w:firstRow="1" w:lastRow="0" w:firstColumn="0" w:lastColumn="0" w:noHBand="0" w:noVBand="1"/>
      </w:tblPr>
      <w:tblGrid>
        <w:gridCol w:w="2880"/>
        <w:gridCol w:w="2160"/>
        <w:gridCol w:w="1080"/>
        <w:gridCol w:w="5040"/>
        <w:gridCol w:w="1080"/>
        <w:gridCol w:w="1080"/>
        <w:gridCol w:w="1080"/>
      </w:tblGrid>
      <w:tr w:rsidR="002117B2" w14:paraId="6EEDA6A1"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1C5D9A3"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E3B05DF"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95D3D09"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8FB7A61"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292BB99"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233A6AF"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28E7A11"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1C2C1E4E"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1E6121" w14:textId="77777777" w:rsidR="002117B2" w:rsidRDefault="00616284">
            <w:pPr>
              <w:spacing w:before="40" w:after="40"/>
              <w:ind w:left="100" w:right="100"/>
            </w:pPr>
            <w:r>
              <w:rPr>
                <w:rFonts w:ascii="Calibri" w:eastAsia="Calibri" w:hAnsi="Calibri" w:cs="Calibri"/>
                <w:color w:val="111111"/>
                <w:sz w:val="18"/>
                <w:szCs w:val="18"/>
              </w:rPr>
              <w:t>2018 (3)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810587" w14:textId="77777777" w:rsidR="002117B2" w:rsidRDefault="00616284">
            <w:pPr>
              <w:spacing w:before="40" w:after="40"/>
              <w:ind w:left="100" w:right="100"/>
            </w:pPr>
            <w:r>
              <w:rPr>
                <w:rFonts w:ascii="Calibri" w:eastAsia="Calibri" w:hAnsi="Calibri" w:cs="Calibri"/>
                <w:color w:val="111111"/>
                <w:sz w:val="18"/>
                <w:szCs w:val="18"/>
              </w:rPr>
              <w:t>LT-2G-2018-0001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BE0461"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BACC24" w14:textId="1A5D7BC8" w:rsidR="002117B2" w:rsidRDefault="00616284">
            <w:pPr>
              <w:spacing w:before="40" w:after="40"/>
              <w:ind w:left="100" w:right="100"/>
            </w:pPr>
            <w:r>
              <w:rPr>
                <w:rFonts w:ascii="Calibri" w:eastAsia="Calibri" w:hAnsi="Calibri" w:cs="Calibri"/>
                <w:color w:val="111111"/>
                <w:sz w:val="18"/>
                <w:szCs w:val="18"/>
              </w:rPr>
              <w:t xml:space="preserve">2G Other </w:t>
            </w:r>
            <w:r w:rsidR="00874A03">
              <w:rPr>
                <w:rFonts w:ascii="Calibri" w:eastAsia="Calibri" w:hAnsi="Calibri" w:cs="Calibri"/>
                <w:color w:val="111111"/>
                <w:sz w:val="18"/>
                <w:szCs w:val="18"/>
              </w:rPr>
              <w:t>P</w:t>
            </w:r>
            <w:r>
              <w:rPr>
                <w:rFonts w:ascii="Calibri" w:eastAsia="Calibri" w:hAnsi="Calibri" w:cs="Calibri"/>
                <w:color w:val="111111"/>
                <w:sz w:val="18"/>
                <w:szCs w:val="18"/>
              </w:rPr>
              <w:t xml:space="preserve">roduct </w:t>
            </w:r>
            <w:r w:rsidR="00874A03">
              <w:rPr>
                <w:rFonts w:ascii="Calibri" w:eastAsia="Calibri" w:hAnsi="Calibri" w:cs="Calibri"/>
                <w:color w:val="111111"/>
                <w:sz w:val="18"/>
                <w:szCs w:val="18"/>
              </w:rPr>
              <w:t>U</w:t>
            </w:r>
            <w:r>
              <w:rPr>
                <w:rFonts w:ascii="Calibri" w:eastAsia="Calibri" w:hAnsi="Calibri" w:cs="Calibri"/>
                <w:color w:val="111111"/>
                <w:sz w:val="18"/>
                <w:szCs w:val="18"/>
              </w:rPr>
              <w:t>se, Pb, 2016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363ED2" w14:textId="77777777" w:rsidR="002117B2" w:rsidRDefault="00616284">
            <w:pPr>
              <w:spacing w:before="40" w:after="40"/>
              <w:ind w:left="100" w:right="100"/>
            </w:pPr>
            <w:r>
              <w:rPr>
                <w:rFonts w:ascii="Calibri" w:eastAsia="Calibri" w:hAnsi="Calibri" w:cs="Calibri"/>
                <w:color w:val="111111"/>
                <w:sz w:val="18"/>
                <w:szCs w:val="18"/>
              </w:rPr>
              <w:t>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14CB8A" w14:textId="77777777" w:rsidR="002117B2" w:rsidRDefault="00616284">
            <w:pPr>
              <w:spacing w:before="40" w:after="40"/>
              <w:ind w:left="100" w:right="100"/>
            </w:pPr>
            <w:r>
              <w:rPr>
                <w:rFonts w:ascii="Calibri" w:eastAsia="Calibri" w:hAnsi="Calibri" w:cs="Calibri"/>
                <w:color w:val="111111"/>
                <w:sz w:val="18"/>
                <w:szCs w:val="18"/>
              </w:rPr>
              <w:t>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D15162"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26F0664D"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9359FF" w14:textId="2F9C51EF"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2G Other Product Use for pollutant Pb in all years the TERT noted an under-estimate of emissions above the threshold of significance. Pb emissions from 2G are reported as 'NA' for all years while the 2016 EMEP/EEA Guidebook has an emission factor for the use of fireworks. This was raised during the 2018 and 2019 NECD review. Lithuania did not provide a detailed response to questions raised during the review or provide a revised </w:t>
            </w:r>
            <w:r w:rsidR="00752435">
              <w:rPr>
                <w:rFonts w:ascii="Calibri" w:eastAsia="Calibri" w:hAnsi="Calibri" w:cs="Calibri"/>
                <w:color w:val="000000"/>
                <w:sz w:val="18"/>
                <w:szCs w:val="18"/>
              </w:rPr>
              <w:t>estimate. The</w:t>
            </w:r>
            <w:r>
              <w:rPr>
                <w:rFonts w:ascii="Calibri" w:eastAsia="Calibri" w:hAnsi="Calibri" w:cs="Calibri"/>
                <w:color w:val="000000"/>
                <w:sz w:val="18"/>
                <w:szCs w:val="18"/>
              </w:rPr>
              <w:t xml:space="preserve"> TERT decided to calculate a technical correction for the years 1990, 2005, 2016-18 which was accepted by Lithuania. The estimates demonstrate that the issue is above the threshold of significance.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a revised estimate in its next submission.</w:t>
            </w:r>
          </w:p>
        </w:tc>
      </w:tr>
      <w:tr w:rsidR="002117B2" w14:paraId="5A4165ED"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F916991"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88BD876"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7FBF936"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8947E5C"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3C05EED"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60652DD"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BA59492"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0CF1E725"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F01A7A"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348AF2" w14:textId="77777777" w:rsidR="002117B2" w:rsidRDefault="00616284">
            <w:pPr>
              <w:spacing w:before="40" w:after="40"/>
              <w:ind w:left="100" w:right="100"/>
            </w:pPr>
            <w:r>
              <w:rPr>
                <w:rFonts w:ascii="Calibri" w:eastAsia="Calibri" w:hAnsi="Calibri" w:cs="Calibri"/>
                <w:color w:val="111111"/>
                <w:sz w:val="18"/>
                <w:szCs w:val="18"/>
              </w:rPr>
              <w:t>LT-5C2-2020-0001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C32A7A"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414583" w14:textId="77777777" w:rsidR="002117B2" w:rsidRDefault="00616284">
            <w:pPr>
              <w:spacing w:before="40" w:after="40"/>
              <w:ind w:left="100" w:right="100"/>
            </w:pPr>
            <w:r>
              <w:rPr>
                <w:rFonts w:ascii="Calibri" w:eastAsia="Calibri" w:hAnsi="Calibri" w:cs="Calibri"/>
                <w:color w:val="111111"/>
                <w:sz w:val="18"/>
                <w:szCs w:val="18"/>
              </w:rPr>
              <w:t>5C2 Open Burning of Waste, PAHs, 1990-2018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149F76"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3648DC" w14:textId="77777777" w:rsidR="002117B2" w:rsidRDefault="00616284">
            <w:pPr>
              <w:spacing w:before="40" w:after="40"/>
              <w:ind w:left="100" w:right="100"/>
            </w:pPr>
            <w:r>
              <w:rPr>
                <w:rFonts w:ascii="Calibri" w:eastAsia="Calibri" w:hAnsi="Calibri" w:cs="Calibri"/>
                <w:color w:val="111111"/>
                <w:sz w:val="18"/>
                <w:szCs w:val="18"/>
              </w:rPr>
              <w:t>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95F557"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425DF872"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3D366E" w14:textId="09733FE5"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PAHs emissions from 5C2 Open </w:t>
            </w:r>
            <w:r w:rsidR="00874A03">
              <w:rPr>
                <w:rFonts w:ascii="Calibri" w:eastAsia="Calibri" w:hAnsi="Calibri" w:cs="Calibri"/>
                <w:color w:val="000000"/>
                <w:sz w:val="18"/>
                <w:szCs w:val="18"/>
              </w:rPr>
              <w:t>B</w:t>
            </w:r>
            <w:r>
              <w:rPr>
                <w:rFonts w:ascii="Calibri" w:eastAsia="Calibri" w:hAnsi="Calibri" w:cs="Calibri"/>
                <w:color w:val="000000"/>
                <w:sz w:val="18"/>
                <w:szCs w:val="18"/>
              </w:rPr>
              <w:t xml:space="preserve">urning for all years, the TERT noted that in response to a question raised during the review Lithuania did not provide a revised estimate. The TERT decided to calculate a technical correction for the 1990, 2005, 2016- 2018 which was accepted by Lithuania. The estimates demonstrate that the issue is above the threshold of significance.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a revised estimate in its next submission.</w:t>
            </w:r>
          </w:p>
        </w:tc>
      </w:tr>
      <w:tr w:rsidR="002117B2" w14:paraId="6C9AB7D0"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A110921"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A97F70D"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2ED932C"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F33FCF0"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87B69FE"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19DF0D7"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32D5175"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35FF8E67"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8A9D41" w14:textId="77777777" w:rsidR="002117B2" w:rsidRDefault="00616284">
            <w:pPr>
              <w:spacing w:before="40" w:after="40"/>
              <w:ind w:left="100" w:right="100"/>
            </w:pPr>
            <w:r>
              <w:rPr>
                <w:rFonts w:ascii="Calibri" w:eastAsia="Calibri" w:hAnsi="Calibri" w:cs="Calibri"/>
                <w:color w:val="111111"/>
                <w:sz w:val="18"/>
                <w:szCs w:val="18"/>
              </w:rPr>
              <w:t>2018 (3)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BF6F4D" w14:textId="77777777" w:rsidR="002117B2" w:rsidRDefault="00616284">
            <w:pPr>
              <w:spacing w:before="40" w:after="40"/>
              <w:ind w:left="100" w:right="100"/>
            </w:pPr>
            <w:r>
              <w:rPr>
                <w:rFonts w:ascii="Calibri" w:eastAsia="Calibri" w:hAnsi="Calibri" w:cs="Calibri"/>
                <w:color w:val="111111"/>
                <w:sz w:val="18"/>
                <w:szCs w:val="18"/>
              </w:rPr>
              <w:t>LT-1A3bvi-2018-0002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1DA8A6"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DBD3AD" w14:textId="77777777" w:rsidR="002117B2" w:rsidRDefault="00616284">
            <w:pPr>
              <w:spacing w:before="40" w:after="40"/>
              <w:ind w:left="100" w:right="100"/>
            </w:pPr>
            <w:r>
              <w:rPr>
                <w:rFonts w:ascii="Calibri" w:eastAsia="Calibri" w:hAnsi="Calibri" w:cs="Calibri"/>
                <w:color w:val="111111"/>
                <w:sz w:val="18"/>
                <w:szCs w:val="18"/>
              </w:rPr>
              <w:t>1A3bvi Road Transport: Automobile Tyre and Brake Wear, Pb, 2016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5478DB" w14:textId="77777777" w:rsidR="002117B2" w:rsidRDefault="00616284">
            <w:pPr>
              <w:spacing w:before="40" w:after="40"/>
              <w:ind w:left="100" w:right="100"/>
            </w:pPr>
            <w:r>
              <w:rPr>
                <w:rFonts w:ascii="Calibri" w:eastAsia="Calibri" w:hAnsi="Calibri" w:cs="Calibri"/>
                <w:color w:val="111111"/>
                <w:sz w:val="18"/>
                <w:szCs w:val="18"/>
              </w:rPr>
              <w:t>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AD1756" w14:textId="77777777" w:rsidR="002117B2" w:rsidRDefault="00616284">
            <w:pPr>
              <w:spacing w:before="40" w:after="40"/>
              <w:ind w:left="100" w:right="100"/>
            </w:pPr>
            <w:r>
              <w:rPr>
                <w:rFonts w:ascii="Calibri" w:eastAsia="Calibri" w:hAnsi="Calibri" w:cs="Calibri"/>
                <w:color w:val="111111"/>
                <w:sz w:val="18"/>
                <w:szCs w:val="18"/>
              </w:rPr>
              <w:t>RE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653DC5" w14:textId="77777777" w:rsidR="002117B2" w:rsidRDefault="00616284">
            <w:pPr>
              <w:spacing w:before="40" w:after="40"/>
              <w:ind w:left="100" w:right="100"/>
            </w:pPr>
            <w:r>
              <w:rPr>
                <w:rFonts w:ascii="Calibri" w:eastAsia="Calibri" w:hAnsi="Calibri" w:cs="Calibri"/>
                <w:color w:val="111111"/>
                <w:sz w:val="18"/>
                <w:szCs w:val="18"/>
              </w:rPr>
              <w:t>Yes</w:t>
            </w:r>
          </w:p>
        </w:tc>
      </w:tr>
      <w:tr w:rsidR="002117B2" w14:paraId="26C485C9"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06C51C" w14:textId="28BC6D7B"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For 1A3bvi</w:t>
            </w:r>
            <w:r w:rsidR="00874A03">
              <w:rPr>
                <w:rFonts w:ascii="Calibri" w:eastAsia="Calibri" w:hAnsi="Calibri" w:cs="Calibri"/>
                <w:color w:val="000000"/>
                <w:sz w:val="18"/>
                <w:szCs w:val="18"/>
              </w:rPr>
              <w:t xml:space="preserve"> </w:t>
            </w:r>
            <w:r w:rsidR="00874A03">
              <w:rPr>
                <w:rFonts w:ascii="Calibri" w:eastAsia="Calibri" w:hAnsi="Calibri" w:cs="Calibri"/>
                <w:color w:val="111111"/>
                <w:sz w:val="18"/>
                <w:szCs w:val="18"/>
              </w:rPr>
              <w:t>Road Transport: Automobile Tyre and Brake Wear</w:t>
            </w:r>
            <w:r>
              <w:rPr>
                <w:rFonts w:ascii="Calibri" w:eastAsia="Calibri" w:hAnsi="Calibri" w:cs="Calibri"/>
                <w:color w:val="000000"/>
                <w:sz w:val="18"/>
                <w:szCs w:val="18"/>
              </w:rPr>
              <w:t xml:space="preserve">, for pollutant Pb, for all years, the TERT noted an underestimation of emissions. In response to a question raised during the review, Lithuania explained that is planning to correct this issue in 2021 submission and provided revised estimates for years 1990, 2005, 2016-2018. The TERT agreed with the revised estimate provided by Lithuania.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the revised estimate in its 2021 NFR and IIR submission.</w:t>
            </w:r>
          </w:p>
        </w:tc>
      </w:tr>
      <w:tr w:rsidR="002117B2" w14:paraId="26BBA5DB"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C4D35DA"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917D120"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1BE85CD"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51FE6C2"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3E47FC8"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0071DA9"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C099590"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5E4BB0C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D695A8" w14:textId="77777777" w:rsidR="002117B2" w:rsidRDefault="00616284">
            <w:pPr>
              <w:spacing w:before="40" w:after="40"/>
              <w:ind w:left="100" w:right="100"/>
            </w:pPr>
            <w:r>
              <w:rPr>
                <w:rFonts w:ascii="Calibri" w:eastAsia="Calibri" w:hAnsi="Calibri" w:cs="Calibri"/>
                <w:color w:val="111111"/>
                <w:sz w:val="18"/>
                <w:szCs w:val="18"/>
              </w:rPr>
              <w:t>2018 (3)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38125E" w14:textId="77777777" w:rsidR="002117B2" w:rsidRDefault="00616284">
            <w:pPr>
              <w:spacing w:before="40" w:after="40"/>
              <w:ind w:left="100" w:right="100"/>
            </w:pPr>
            <w:r>
              <w:rPr>
                <w:rFonts w:ascii="Calibri" w:eastAsia="Calibri" w:hAnsi="Calibri" w:cs="Calibri"/>
                <w:color w:val="111111"/>
                <w:sz w:val="18"/>
                <w:szCs w:val="18"/>
              </w:rPr>
              <w:t>LT-1B2aiv-2018-0001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256CCD"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CBC758" w14:textId="77777777" w:rsidR="002117B2" w:rsidRDefault="00616284">
            <w:pPr>
              <w:spacing w:before="40" w:after="40"/>
              <w:ind w:left="100" w:right="100"/>
            </w:pPr>
            <w:r>
              <w:rPr>
                <w:rFonts w:ascii="Calibri" w:eastAsia="Calibri" w:hAnsi="Calibri" w:cs="Calibri"/>
                <w:color w:val="111111"/>
                <w:sz w:val="18"/>
                <w:szCs w:val="18"/>
              </w:rPr>
              <w:t>1B2aiv Fugitive Emissions Oil: Refining / Storage, Cd, Hg, Pb, 1990, 2005, 2016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AB50C3" w14:textId="77777777" w:rsidR="002117B2" w:rsidRDefault="00616284">
            <w:pPr>
              <w:spacing w:before="40" w:after="40"/>
              <w:ind w:left="100" w:right="100"/>
            </w:pPr>
            <w:r>
              <w:rPr>
                <w:rFonts w:ascii="Calibri" w:eastAsia="Calibri" w:hAnsi="Calibri" w:cs="Calibri"/>
                <w:color w:val="111111"/>
                <w:sz w:val="18"/>
                <w:szCs w:val="18"/>
              </w:rPr>
              <w:t>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4621DA" w14:textId="77777777" w:rsidR="002117B2" w:rsidRDefault="00616284">
            <w:pPr>
              <w:spacing w:before="40" w:after="40"/>
              <w:ind w:left="100" w:right="100"/>
            </w:pPr>
            <w:r>
              <w:rPr>
                <w:rFonts w:ascii="Calibri" w:eastAsia="Calibri" w:hAnsi="Calibri" w:cs="Calibri"/>
                <w:color w:val="111111"/>
                <w:sz w:val="18"/>
                <w:szCs w:val="18"/>
              </w:rPr>
              <w:t>RE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8DA04F"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7CA7C995"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C946A4" w14:textId="400568F7"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1B2aiv Fugitive </w:t>
            </w:r>
            <w:r w:rsidR="00874A03">
              <w:rPr>
                <w:rFonts w:ascii="Calibri" w:eastAsia="Calibri" w:hAnsi="Calibri" w:cs="Calibri"/>
                <w:color w:val="000000"/>
                <w:sz w:val="18"/>
                <w:szCs w:val="18"/>
              </w:rPr>
              <w:t>E</w:t>
            </w:r>
            <w:r>
              <w:rPr>
                <w:rFonts w:ascii="Calibri" w:eastAsia="Calibri" w:hAnsi="Calibri" w:cs="Calibri"/>
                <w:color w:val="000000"/>
                <w:sz w:val="18"/>
                <w:szCs w:val="18"/>
              </w:rPr>
              <w:t xml:space="preserve">missions </w:t>
            </w:r>
            <w:r w:rsidR="00874A03">
              <w:rPr>
                <w:rFonts w:ascii="Calibri" w:eastAsia="Calibri" w:hAnsi="Calibri" w:cs="Calibri"/>
                <w:color w:val="000000"/>
                <w:sz w:val="18"/>
                <w:szCs w:val="18"/>
              </w:rPr>
              <w:t>O</w:t>
            </w:r>
            <w:r>
              <w:rPr>
                <w:rFonts w:ascii="Calibri" w:eastAsia="Calibri" w:hAnsi="Calibri" w:cs="Calibri"/>
                <w:color w:val="000000"/>
                <w:sz w:val="18"/>
                <w:szCs w:val="18"/>
              </w:rPr>
              <w:t xml:space="preserve">il: Refining / </w:t>
            </w:r>
            <w:r w:rsidR="00874A03">
              <w:rPr>
                <w:rFonts w:ascii="Calibri" w:eastAsia="Calibri" w:hAnsi="Calibri" w:cs="Calibri"/>
                <w:color w:val="000000"/>
                <w:sz w:val="18"/>
                <w:szCs w:val="18"/>
              </w:rPr>
              <w:t>S</w:t>
            </w:r>
            <w:r>
              <w:rPr>
                <w:rFonts w:ascii="Calibri" w:eastAsia="Calibri" w:hAnsi="Calibri" w:cs="Calibri"/>
                <w:color w:val="000000"/>
                <w:sz w:val="18"/>
                <w:szCs w:val="18"/>
              </w:rPr>
              <w:t xml:space="preserve">torage for Cd, Hg and Pb in 1990, 2005 and 2016-2018 the TERT noted that Cd, Hg and Pb are reported as 'NE' in the NFR, and that the 2016 EMEP/EEA Guidebook include Tier 1 emission factors for these pollutants. This was raised during 2018 and 2019 NECD review. In response to a question raised during the review, Lithuania agreed to the draft technical correction provided by the TERT and stated that it will be included in the next submission.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the revised estimate in its 2021 NFR and IIR submission.</w:t>
            </w:r>
          </w:p>
        </w:tc>
      </w:tr>
      <w:tr w:rsidR="002117B2" w14:paraId="0B9366D6"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BED4852"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8FC60E8"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51E8C6F"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FFE443B"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88C7756"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FCAC0F0"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0586E7B"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746C2DA"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DCE6DA"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90FB22" w14:textId="77777777" w:rsidR="002117B2" w:rsidRDefault="00616284">
            <w:pPr>
              <w:spacing w:before="40" w:after="40"/>
              <w:ind w:left="100" w:right="100"/>
            </w:pPr>
            <w:r>
              <w:rPr>
                <w:rFonts w:ascii="Calibri" w:eastAsia="Calibri" w:hAnsi="Calibri" w:cs="Calibri"/>
                <w:color w:val="111111"/>
                <w:sz w:val="18"/>
                <w:szCs w:val="18"/>
              </w:rPr>
              <w:t>LT-1A2gvii-2019-0003</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FF1B32"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C330D1" w14:textId="1CC5F323" w:rsidR="002117B2" w:rsidRDefault="00616284">
            <w:pPr>
              <w:spacing w:before="40" w:after="40"/>
              <w:ind w:left="100" w:right="100"/>
            </w:pPr>
            <w:r>
              <w:rPr>
                <w:rFonts w:ascii="Calibri" w:eastAsia="Calibri" w:hAnsi="Calibri" w:cs="Calibri"/>
                <w:color w:val="111111"/>
                <w:sz w:val="18"/>
                <w:szCs w:val="18"/>
              </w:rPr>
              <w:t>1A2gvii Mobile Combustion in Manufacturing Industries and Construction, Pb, 1990-201</w:t>
            </w:r>
            <w:r w:rsidR="00EB7F38">
              <w:rPr>
                <w:rFonts w:ascii="Calibri" w:eastAsia="Calibri" w:hAnsi="Calibri" w:cs="Calibri"/>
                <w:color w:val="111111"/>
                <w:sz w:val="18"/>
                <w:szCs w:val="18"/>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34B217"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A11956" w14:textId="77777777" w:rsidR="002117B2" w:rsidRDefault="00616284">
            <w:pPr>
              <w:spacing w:before="40" w:after="40"/>
              <w:ind w:left="100" w:right="100"/>
            </w:pPr>
            <w:r>
              <w:rPr>
                <w:rFonts w:ascii="Calibri" w:eastAsia="Calibri" w:hAnsi="Calibri" w:cs="Calibri"/>
                <w:color w:val="111111"/>
                <w:sz w:val="18"/>
                <w:szCs w:val="18"/>
              </w:rPr>
              <w:t>UPTC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55D12F"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4FB5FB94"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AE09AD" w14:textId="479E1FC9"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The TERT notes with reference to category 1A2gvii</w:t>
            </w:r>
            <w:r w:rsidR="00874A03">
              <w:rPr>
                <w:rFonts w:ascii="Calibri" w:eastAsia="Calibri" w:hAnsi="Calibri" w:cs="Calibri"/>
                <w:color w:val="000000"/>
                <w:sz w:val="18"/>
                <w:szCs w:val="18"/>
              </w:rPr>
              <w:t xml:space="preserve"> </w:t>
            </w:r>
            <w:r w:rsidR="00874A03">
              <w:rPr>
                <w:rFonts w:ascii="Calibri" w:eastAsia="Calibri" w:hAnsi="Calibri" w:cs="Calibri"/>
                <w:color w:val="111111"/>
                <w:sz w:val="18"/>
                <w:szCs w:val="18"/>
              </w:rPr>
              <w:t>Mobile Combustion in Manufacturing Industries and Construction</w:t>
            </w:r>
            <w:r>
              <w:rPr>
                <w:rFonts w:ascii="Calibri" w:eastAsia="Calibri" w:hAnsi="Calibri" w:cs="Calibri"/>
                <w:color w:val="000000"/>
                <w:sz w:val="18"/>
                <w:szCs w:val="18"/>
              </w:rPr>
              <w:t xml:space="preserve">, for Pb emissions, for the whole time series after 1996 an issue that may relate to an under-estimate of emissions. This under-estimate may have an impact on total emissions that is above the threshold of significance. Lithuania has not provided a revised estimate which has been accepted by the TERT. It is currently not possible for the TERT to provide a numerical emission estimate based on a Tier 1/Tier 2 method, and therefore the issue will be flagged as Potential Technical Correction and will be assessed as a high priority item in future reviews.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should calculate Pb emissions from 1A2gvii category for inclusion in next years’ inventory submission.</w:t>
            </w:r>
          </w:p>
        </w:tc>
      </w:tr>
      <w:tr w:rsidR="002117B2" w14:paraId="138F9F95"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3812C6B"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D91BB91"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AD59A72"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F92C90D"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D37D60F"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21BCB39"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F503861"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0A149BF2"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E9CF67"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C665B4" w14:textId="77777777" w:rsidR="002117B2" w:rsidRDefault="00616284">
            <w:pPr>
              <w:spacing w:before="40" w:after="40"/>
              <w:ind w:left="100" w:right="100"/>
            </w:pPr>
            <w:r>
              <w:rPr>
                <w:rFonts w:ascii="Calibri" w:eastAsia="Calibri" w:hAnsi="Calibri" w:cs="Calibri"/>
                <w:color w:val="111111"/>
                <w:sz w:val="18"/>
                <w:szCs w:val="18"/>
              </w:rPr>
              <w:t>LT-0A-2020-0001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388893"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DC559B" w14:textId="56E3B31F" w:rsidR="002117B2" w:rsidRDefault="00616284">
            <w:pPr>
              <w:spacing w:before="40" w:after="40"/>
              <w:ind w:left="100" w:right="100"/>
            </w:pPr>
            <w:r>
              <w:rPr>
                <w:rFonts w:ascii="Calibri" w:eastAsia="Calibri" w:hAnsi="Calibri" w:cs="Calibri"/>
                <w:color w:val="111111"/>
                <w:sz w:val="18"/>
                <w:szCs w:val="18"/>
              </w:rPr>
              <w:t xml:space="preserve">0A National Total - National Total for the Entire Territory - Based on Fuel Sold/Fuel Used, </w:t>
            </w: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2</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xml:space="preserve">, NMVOC,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xml:space="preserve">, BaP, PAHs, PCBs, HCB, Pb, PCDD/F,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10</w:t>
            </w:r>
            <w:r>
              <w:rPr>
                <w:rFonts w:ascii="Calibri" w:eastAsia="Calibri" w:hAnsi="Calibri" w:cs="Calibri"/>
                <w:color w:val="111111"/>
                <w:sz w:val="18"/>
                <w:szCs w:val="18"/>
              </w:rPr>
              <w:t>, CO, BC, 1990 - 2018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CCEBDA"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811484"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FCCB6A"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050CC8F0"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AF3EE5" w14:textId="77777777"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uncertainties in the entire inventory the TERT noted that there is a lack of transparency regarding the methods, data sources and assumptions used to estimate uncertainties. This does not relate to an over- or under-estimate of emissions. In response to a question raised during the review, Lithuania explained that an improved description of the methods, data sources and assumptions would be provided in the 2021 IIR.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includes, in future IIRs, details of the methods, data sources and assumptions used to derive its uncertainty estimates.</w:t>
            </w:r>
          </w:p>
        </w:tc>
      </w:tr>
      <w:tr w:rsidR="002117B2" w14:paraId="33648C22"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6854852"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2346747"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F6AE170"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2576CF1"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EFB1890"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1EA434D"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324BC9D"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F66A710"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60B791" w14:textId="77777777" w:rsidR="002117B2" w:rsidRDefault="00616284">
            <w:pPr>
              <w:spacing w:before="40" w:after="40"/>
              <w:ind w:left="100" w:right="100"/>
            </w:pPr>
            <w:r>
              <w:rPr>
                <w:rFonts w:ascii="Calibri" w:eastAsia="Calibri" w:hAnsi="Calibri" w:cs="Calibri"/>
                <w:color w:val="111111"/>
                <w:sz w:val="18"/>
                <w:szCs w:val="18"/>
              </w:rPr>
              <w:t>2018 (3)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6EFD89" w14:textId="77777777" w:rsidR="002117B2" w:rsidRDefault="00616284">
            <w:pPr>
              <w:spacing w:before="40" w:after="40"/>
              <w:ind w:left="100" w:right="100"/>
            </w:pPr>
            <w:r>
              <w:rPr>
                <w:rFonts w:ascii="Calibri" w:eastAsia="Calibri" w:hAnsi="Calibri" w:cs="Calibri"/>
                <w:color w:val="111111"/>
                <w:sz w:val="18"/>
                <w:szCs w:val="18"/>
              </w:rPr>
              <w:t>LT-1A1a-2018-0001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012BA9"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F4E9C2" w14:textId="77777777" w:rsidR="002117B2" w:rsidRDefault="00616284">
            <w:pPr>
              <w:spacing w:before="40" w:after="40"/>
              <w:ind w:left="100" w:right="100"/>
            </w:pPr>
            <w:r>
              <w:rPr>
                <w:rFonts w:ascii="Calibri" w:eastAsia="Calibri" w:hAnsi="Calibri" w:cs="Calibri"/>
                <w:color w:val="111111"/>
                <w:sz w:val="18"/>
                <w:szCs w:val="18"/>
              </w:rPr>
              <w:t>1A1a Public Electricity and Heat Production, Cd, 1990, 2005, 2016, 2017, 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B87884"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F42CE8"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6B88AA"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12C776F7"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2411B0" w14:textId="77777777"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1A1a Public Electricity and Heat Production, Cd, in years 1990, 2005, 2016-2018 the TERT noted that there is a lack of transparency regarding the methodology used for calculating the emissions in the IIR. This does not relate to an over- or under-estimate of emissions. This was raised during the 2018 and 2019 NECD reviews. In response to a question raised during the review, Lithuania explained that the abatement efficiencies have been re-estimated based on the Tier 2 study performed, and Lithuania provided the re-estimated abatement efficiencies and a summary of the reports of the national EF research (included in Lithuania’s answer to observation LT-1A4ci-2019-0003.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in the IIR an explanation of the methodology including a description of the re-estimated abatement efficiencies.</w:t>
            </w:r>
          </w:p>
        </w:tc>
      </w:tr>
      <w:tr w:rsidR="002117B2" w14:paraId="5EBB33E8"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92B9609"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8278280"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EC66149"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B8EFFDE"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7FAB307"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7B2E30A"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4BCEC20"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0ADCB330"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C33288" w14:textId="77777777" w:rsidR="002117B2" w:rsidRDefault="00616284">
            <w:pPr>
              <w:spacing w:before="40" w:after="40"/>
              <w:ind w:left="100" w:right="100"/>
            </w:pPr>
            <w:r>
              <w:rPr>
                <w:rFonts w:ascii="Calibri" w:eastAsia="Calibri" w:hAnsi="Calibri" w:cs="Calibri"/>
                <w:color w:val="111111"/>
                <w:sz w:val="18"/>
                <w:szCs w:val="18"/>
              </w:rPr>
              <w:t>2020 (1)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7670C9" w14:textId="77777777" w:rsidR="002117B2" w:rsidRDefault="00616284">
            <w:pPr>
              <w:spacing w:before="40" w:after="40"/>
              <w:ind w:left="100" w:right="100"/>
            </w:pPr>
            <w:r>
              <w:rPr>
                <w:rFonts w:ascii="Calibri" w:eastAsia="Calibri" w:hAnsi="Calibri" w:cs="Calibri"/>
                <w:color w:val="111111"/>
                <w:sz w:val="18"/>
                <w:szCs w:val="18"/>
              </w:rPr>
              <w:t>LT-1A1a-2020-0001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D19FA5"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E64181" w14:textId="6B34399B" w:rsidR="002117B2" w:rsidRDefault="00616284">
            <w:pPr>
              <w:spacing w:before="40" w:after="40"/>
              <w:ind w:left="100" w:right="100"/>
            </w:pPr>
            <w:r>
              <w:rPr>
                <w:rFonts w:ascii="Calibri" w:eastAsia="Calibri" w:hAnsi="Calibri" w:cs="Calibri"/>
                <w:color w:val="111111"/>
                <w:sz w:val="18"/>
                <w:szCs w:val="18"/>
              </w:rPr>
              <w:t xml:space="preserve">1A1a Public Electricity and Heat Production, Cd, </w:t>
            </w: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2</w:t>
            </w:r>
            <w:r>
              <w:rPr>
                <w:rFonts w:ascii="Calibri" w:eastAsia="Calibri" w:hAnsi="Calibri" w:cs="Calibri"/>
                <w:color w:val="111111"/>
                <w:sz w:val="18"/>
                <w:szCs w:val="18"/>
              </w:rPr>
              <w:t>, 2000-2017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6BAD0F" w14:textId="77777777" w:rsidR="002117B2" w:rsidRDefault="00616284">
            <w:pPr>
              <w:spacing w:before="40" w:after="40"/>
              <w:ind w:left="100" w:right="100"/>
            </w:pPr>
            <w:r>
              <w:rPr>
                <w:rFonts w:ascii="Calibri" w:eastAsia="Calibri" w:hAnsi="Calibri" w:cs="Calibri"/>
                <w:color w:val="111111"/>
                <w:sz w:val="18"/>
                <w:szCs w:val="18"/>
              </w:rPr>
              <w:t>N/A</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DADEF5"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A833EB"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6AB9B5C8"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D2F2CE" w14:textId="5D5E2FD7"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1A1a Public Electricity and Heat Production, for Cd,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X</w:t>
            </w:r>
            <w:r>
              <w:rPr>
                <w:rFonts w:ascii="Calibri" w:eastAsia="Calibri" w:hAnsi="Calibri" w:cs="Calibri"/>
                <w:color w:val="000000"/>
                <w:sz w:val="18"/>
                <w:szCs w:val="18"/>
              </w:rPr>
              <w:t xml:space="preserve">,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and </w:t>
            </w:r>
            <w:r w:rsidRPr="00616284">
              <w:rPr>
                <w:rFonts w:ascii="Calibri" w:eastAsia="Calibri" w:hAnsi="Calibri" w:cs="Calibri"/>
                <w:color w:val="000000"/>
                <w:sz w:val="18"/>
                <w:szCs w:val="18"/>
              </w:rPr>
              <w:t>SO</w:t>
            </w:r>
            <w:r w:rsidRPr="00616284">
              <w:rPr>
                <w:rFonts w:ascii="Calibri" w:eastAsia="Calibri" w:hAnsi="Calibri" w:cs="Calibri"/>
                <w:color w:val="000000"/>
                <w:sz w:val="18"/>
                <w:szCs w:val="18"/>
                <w:vertAlign w:val="subscript"/>
              </w:rPr>
              <w:t>2</w:t>
            </w:r>
            <w:r>
              <w:rPr>
                <w:rFonts w:ascii="Calibri" w:eastAsia="Calibri" w:hAnsi="Calibri" w:cs="Calibri"/>
                <w:color w:val="000000"/>
                <w:sz w:val="18"/>
                <w:szCs w:val="18"/>
              </w:rPr>
              <w:t xml:space="preserve">, in years 2000-2017 the TERT noted that there is a lack of transparency regarding recalculations. This does not relate to an over- or under-estimate of emissions. In response to a question raised during the review, Lithuania explained that re-estimated abatement efficiencies were applied for Cd and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and that the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X</w:t>
            </w:r>
            <w:r>
              <w:rPr>
                <w:rFonts w:ascii="Calibri" w:eastAsia="Calibri" w:hAnsi="Calibri" w:cs="Calibri"/>
                <w:color w:val="000000"/>
                <w:sz w:val="18"/>
                <w:szCs w:val="18"/>
              </w:rPr>
              <w:t xml:space="preserve"> EF 210 g/GJ for wood in boilers &lt; 50 MW was applied.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in the 2021 IIR descriptions of any recalculation in the Energy sector.</w:t>
            </w:r>
          </w:p>
        </w:tc>
      </w:tr>
      <w:tr w:rsidR="002117B2" w14:paraId="6898FBF7"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17F978A"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6E579D3"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C7F74AF"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0AC4007"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B214076"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5B2A257"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10ADBA5"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6F4168ED"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072751"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7C408B" w14:textId="77777777" w:rsidR="002117B2" w:rsidRDefault="00616284">
            <w:pPr>
              <w:spacing w:before="40" w:after="40"/>
              <w:ind w:left="100" w:right="100"/>
            </w:pPr>
            <w:r>
              <w:rPr>
                <w:rFonts w:ascii="Calibri" w:eastAsia="Calibri" w:hAnsi="Calibri" w:cs="Calibri"/>
                <w:color w:val="111111"/>
                <w:sz w:val="18"/>
                <w:szCs w:val="18"/>
              </w:rPr>
              <w:t>LT-1A1a-2019-0001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C4E079"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E462D7" w14:textId="7C4FB672" w:rsidR="002117B2" w:rsidRDefault="00616284">
            <w:pPr>
              <w:spacing w:before="40" w:after="40"/>
              <w:ind w:left="100" w:right="100"/>
            </w:pPr>
            <w:r>
              <w:rPr>
                <w:rFonts w:ascii="Calibri" w:eastAsia="Calibri" w:hAnsi="Calibri" w:cs="Calibri"/>
                <w:color w:val="111111"/>
                <w:sz w:val="18"/>
                <w:szCs w:val="18"/>
              </w:rPr>
              <w:t xml:space="preserve">1A1a Public Electricity and Heat Production, Hg, Pb, </w:t>
            </w: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r>
              <w:rPr>
                <w:rFonts w:ascii="Calibri" w:eastAsia="Calibri" w:hAnsi="Calibri" w:cs="Calibri"/>
                <w:color w:val="111111"/>
                <w:sz w:val="18"/>
                <w:szCs w:val="18"/>
              </w:rPr>
              <w:t>, 2000, 2001, 2002, 2003, 2004, 2005, 2016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B0A6A1"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F51DC5"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83D9A5"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6C504DAF"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635212" w14:textId="2691EF46"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1A1a Public Electricity and Heat Production, for Hg, Pb and </w:t>
            </w:r>
            <w:r w:rsidRPr="00616284">
              <w:rPr>
                <w:rFonts w:ascii="Calibri" w:eastAsia="Calibri" w:hAnsi="Calibri" w:cs="Calibri"/>
                <w:color w:val="000000"/>
                <w:sz w:val="18"/>
                <w:szCs w:val="18"/>
              </w:rPr>
              <w:t>NO</w:t>
            </w:r>
            <w:r w:rsidRPr="00616284">
              <w:rPr>
                <w:rFonts w:ascii="Calibri" w:eastAsia="Calibri" w:hAnsi="Calibri" w:cs="Calibri"/>
                <w:color w:val="000000"/>
                <w:sz w:val="18"/>
                <w:szCs w:val="18"/>
                <w:vertAlign w:val="subscript"/>
              </w:rPr>
              <w:t>X</w:t>
            </w:r>
            <w:r>
              <w:rPr>
                <w:rFonts w:ascii="Calibri" w:eastAsia="Calibri" w:hAnsi="Calibri" w:cs="Calibri"/>
                <w:color w:val="000000"/>
                <w:sz w:val="18"/>
                <w:szCs w:val="18"/>
              </w:rPr>
              <w:t xml:space="preserve">, for all years the TERT noted that there is a lack of transparency regarding explaining recalculations. This does not relate to an over- or under-estimate of emissions. This was raised during the 2019 NECD review. In response to a question raised during the review, Lithuania explained that the abatement efficiencies have been re-estimated based on the Tier 2 study performed, and Lithuania provided the re-estimated abatement efficiencies and a summary of the reports of the national EF research.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include in the IIR an explanation of the methodology including a description of the re-estimated abatement efficiencies, and a description of any recalculations.</w:t>
            </w:r>
          </w:p>
        </w:tc>
      </w:tr>
      <w:tr w:rsidR="002117B2" w14:paraId="0B899F78"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FC127E9"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02500DF"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69F1BB6"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0F717DE"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25B7824"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A1CC468"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CA7C6FD"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341ED7B5"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B783FA"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4EEF4D" w14:textId="77777777" w:rsidR="002117B2" w:rsidRDefault="00616284">
            <w:pPr>
              <w:spacing w:before="40" w:after="40"/>
              <w:ind w:left="100" w:right="100"/>
            </w:pPr>
            <w:r>
              <w:rPr>
                <w:rFonts w:ascii="Calibri" w:eastAsia="Calibri" w:hAnsi="Calibri" w:cs="Calibri"/>
                <w:color w:val="111111"/>
                <w:sz w:val="18"/>
                <w:szCs w:val="18"/>
              </w:rPr>
              <w:t>LT-1A2gviii-2019-0001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3F42DF"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F5666A" w14:textId="77777777" w:rsidR="002117B2" w:rsidRDefault="00616284">
            <w:pPr>
              <w:spacing w:before="40" w:after="40"/>
              <w:ind w:left="100" w:right="100"/>
            </w:pPr>
            <w:r>
              <w:rPr>
                <w:rFonts w:ascii="Calibri" w:eastAsia="Calibri" w:hAnsi="Calibri" w:cs="Calibri"/>
                <w:color w:val="111111"/>
                <w:sz w:val="18"/>
                <w:szCs w:val="18"/>
              </w:rPr>
              <w:t>1A2gviii Stationary Combustion in Manufacturing Industries and Construction: Other, Cd, 2016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66BEA9"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AD1E2E"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6B9ACF"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014BE000"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4612CC" w14:textId="164E6BF9"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1A2gviii Stationary Combustion in Manufacturing Industries and Construction: Other, for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for all years the TERT noted that there is a lack of transparency regarding information and explanation on the sector (i.e. the methodology used, activity data and emission factors used). Only a comment referring to the use of default 2019 EMEP/EEA Guidebook factors is included in the IIR (page 72 of the IIR). This does not relate to an over- or under-estimate of emissions. This was raised during the 2019 NECD review. In response to a question raised during the review, Lithuania explained that the abatement efficiencies that is applied have been recalculated and provided the new abatement efficiencies.  </w:t>
            </w:r>
            <w:r>
              <w:rPr>
                <w:rFonts w:ascii="Calibri" w:eastAsia="Calibri" w:hAnsi="Calibri" w:cs="Calibri"/>
                <w:color w:val="000000"/>
                <w:sz w:val="18"/>
                <w:szCs w:val="18"/>
              </w:rPr>
              <w:br/>
            </w:r>
            <w:r>
              <w:rPr>
                <w:rFonts w:ascii="Calibri" w:eastAsia="Calibri" w:hAnsi="Calibri" w:cs="Calibri"/>
                <w:b/>
                <w:color w:val="000000"/>
                <w:sz w:val="18"/>
                <w:szCs w:val="18"/>
              </w:rPr>
              <w:t>The TERT reiterates the recommendation from the 2019 review to add an explanation on the sector to the IIR.</w:t>
            </w:r>
          </w:p>
        </w:tc>
      </w:tr>
      <w:tr w:rsidR="002117B2" w14:paraId="279B742C"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6DD02D7"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7C2DDB3"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9C02167"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ACE2C2F"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281D0A7"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92E7EBF"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7C12453"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08C6E55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C484AB"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224EF1" w14:textId="77777777" w:rsidR="002117B2" w:rsidRDefault="00616284">
            <w:pPr>
              <w:spacing w:before="40" w:after="40"/>
              <w:ind w:left="100" w:right="100"/>
            </w:pPr>
            <w:r>
              <w:rPr>
                <w:rFonts w:ascii="Calibri" w:eastAsia="Calibri" w:hAnsi="Calibri" w:cs="Calibri"/>
                <w:color w:val="111111"/>
                <w:sz w:val="18"/>
                <w:szCs w:val="18"/>
              </w:rPr>
              <w:t>LT-1A3b-2017-0006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3B3D95"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B6424A" w14:textId="289ACE43" w:rsidR="002117B2" w:rsidRDefault="00616284">
            <w:pPr>
              <w:spacing w:before="40" w:after="40"/>
              <w:ind w:left="100" w:right="100"/>
            </w:pPr>
            <w:r>
              <w:rPr>
                <w:rFonts w:ascii="Calibri" w:eastAsia="Calibri" w:hAnsi="Calibri" w:cs="Calibri"/>
                <w:color w:val="111111"/>
                <w:sz w:val="18"/>
                <w:szCs w:val="18"/>
              </w:rPr>
              <w:t xml:space="preserve">1A3b Road Transport, </w:t>
            </w: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2</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xml:space="preserve">, NMVOC,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xml:space="preserve">, BaP, PAHs, PCBs, HCB, Cd, Hg, Pb, PCDD/F,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10</w:t>
            </w:r>
            <w:r>
              <w:rPr>
                <w:rFonts w:ascii="Calibri" w:eastAsia="Calibri" w:hAnsi="Calibri" w:cs="Calibri"/>
                <w:color w:val="111111"/>
                <w:sz w:val="18"/>
                <w:szCs w:val="18"/>
              </w:rPr>
              <w:t>, CO 1990-2018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19DD76"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51C3C5"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D0367C"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49C3F2D4"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58766C" w14:textId="77777777"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1A3b Road Transport, for all fuels and pollutants the TERT noted that there is a lack of transparency regarding the fact that in IIR 2020, in page 78/256, in figure 51 FUEL CONSUMPTION IN ROAD TRANSPORT IN 1990-2018, TJ, the following fuels are depicted: LPG, CNG, Gasoline and Diesel. Whereas in the file that Lithuania provided in observation: LT-1A3b-2017-0002, the fuels reported in COPERT are petrol, diesel, petrol hybrid and LPG biofuel. This does not relate to an over- or under-estimate of emissions. This was raised during the 2017, 2018 and 2019 NECD reviews. In response to a question raised during the review, Lithuania explained that emissions from CNG are included, but CNG is not reported in activity data column.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provides a clear explanation in 2021 NFR and IIR on which fuels are considered for road transport.</w:t>
            </w:r>
          </w:p>
        </w:tc>
      </w:tr>
      <w:tr w:rsidR="002117B2" w14:paraId="326615F3"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D478541"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BD01170"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839D539"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DB5B5E3"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F0F988F"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45C90A5"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E25FCF5"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365172D0"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64E80B"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269C86" w14:textId="77777777" w:rsidR="002117B2" w:rsidRDefault="00616284">
            <w:pPr>
              <w:spacing w:before="40" w:after="40"/>
              <w:ind w:left="100" w:right="100"/>
            </w:pPr>
            <w:r>
              <w:rPr>
                <w:rFonts w:ascii="Calibri" w:eastAsia="Calibri" w:hAnsi="Calibri" w:cs="Calibri"/>
                <w:color w:val="111111"/>
                <w:sz w:val="18"/>
                <w:szCs w:val="18"/>
              </w:rPr>
              <w:t>LT-1A4ai-2019-0002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4FB92A"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7F5D18" w14:textId="77777777" w:rsidR="002117B2" w:rsidRDefault="00616284">
            <w:pPr>
              <w:spacing w:before="40" w:after="40"/>
              <w:ind w:left="100" w:right="100"/>
            </w:pPr>
            <w:r>
              <w:rPr>
                <w:rFonts w:ascii="Calibri" w:eastAsia="Calibri" w:hAnsi="Calibri" w:cs="Calibri"/>
                <w:color w:val="111111"/>
                <w:sz w:val="18"/>
                <w:szCs w:val="18"/>
              </w:rPr>
              <w:t>1A4ai Commercial/Institutional: Stationary, PCBs, 2016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233D94"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FE4B20"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950E47"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5944E4F5"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AE782A" w14:textId="61136DB3"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1A4ai Commercial/Institutional: Stationary for PCBs for the year 2016 the TERT noted that there is a lack of transparency regarding the EFs for PCBs and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10</w:t>
            </w:r>
            <w:r>
              <w:rPr>
                <w:rFonts w:ascii="Calibri" w:eastAsia="Calibri" w:hAnsi="Calibri" w:cs="Calibri"/>
                <w:color w:val="000000"/>
                <w:sz w:val="18"/>
                <w:szCs w:val="18"/>
              </w:rPr>
              <w:t xml:space="preserve"> and the different ratio of PCBs to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10</w:t>
            </w:r>
            <w:r>
              <w:rPr>
                <w:rFonts w:ascii="Calibri" w:eastAsia="Calibri" w:hAnsi="Calibri" w:cs="Calibri"/>
                <w:color w:val="000000"/>
                <w:sz w:val="18"/>
                <w:szCs w:val="18"/>
              </w:rPr>
              <w:t xml:space="preserve"> emissions. This does not relate to an over- or under-estimate of emissions. This was raised during the 2019 NECD review. In response to a question raised during the review, Lithuania explained that abatement for PM and pollutants attached to PM (HM, PAHs, DX/FR) was applied. Because PCBs are not associated with PM, for them abatement was not applied. Lithuania provided a spreadsheet with the re-estimated abatement efficiencies.  </w:t>
            </w:r>
            <w:r>
              <w:rPr>
                <w:rFonts w:ascii="Calibri" w:eastAsia="Calibri" w:hAnsi="Calibri" w:cs="Calibri"/>
                <w:color w:val="000000"/>
                <w:sz w:val="18"/>
                <w:szCs w:val="18"/>
              </w:rPr>
              <w:br/>
            </w:r>
            <w:r>
              <w:rPr>
                <w:rFonts w:ascii="Calibri" w:eastAsia="Calibri" w:hAnsi="Calibri" w:cs="Calibri"/>
                <w:b/>
                <w:color w:val="000000"/>
                <w:sz w:val="18"/>
                <w:szCs w:val="18"/>
              </w:rPr>
              <w:t>The TERT reiterates the recommendation from the 2019 review that Lithuania includes both a clear explanation of the emission factors and abatement efficiencies applied, and information about recalculations for this sector in the 2021 IIR submission.</w:t>
            </w:r>
          </w:p>
        </w:tc>
      </w:tr>
      <w:tr w:rsidR="002117B2" w14:paraId="30E76C8F"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3107507"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9666834"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18B88ADB"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AB39F9D"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7FF42BE"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6B064D6"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8196292"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0F9679D4"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3C648B" w14:textId="77777777" w:rsidR="002117B2" w:rsidRDefault="00616284">
            <w:pPr>
              <w:spacing w:before="40" w:after="40"/>
              <w:ind w:left="100" w:right="100"/>
            </w:pPr>
            <w:r>
              <w:rPr>
                <w:rFonts w:ascii="Calibri" w:eastAsia="Calibri" w:hAnsi="Calibri" w:cs="Calibri"/>
                <w:color w:val="111111"/>
                <w:sz w:val="18"/>
                <w:szCs w:val="18"/>
              </w:rPr>
              <w:t>2017 (4)</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EA03FB" w14:textId="77777777" w:rsidR="002117B2" w:rsidRDefault="00616284">
            <w:pPr>
              <w:spacing w:before="40" w:after="40"/>
              <w:ind w:left="100" w:right="100"/>
            </w:pPr>
            <w:r>
              <w:rPr>
                <w:rFonts w:ascii="Calibri" w:eastAsia="Calibri" w:hAnsi="Calibri" w:cs="Calibri"/>
                <w:color w:val="111111"/>
                <w:sz w:val="18"/>
                <w:szCs w:val="18"/>
              </w:rPr>
              <w:t>LT-1A4bii-2017-0001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A7AC12" w14:textId="77777777" w:rsidR="002117B2" w:rsidRDefault="00616284">
            <w:pPr>
              <w:spacing w:before="40" w:after="40"/>
              <w:ind w:left="100" w:right="100"/>
            </w:pPr>
            <w:r>
              <w:rPr>
                <w:rFonts w:ascii="Calibri" w:eastAsia="Calibri" w:hAnsi="Calibri" w:cs="Calibri"/>
                <w:color w:val="111111"/>
                <w:sz w:val="18"/>
                <w:szCs w:val="18"/>
              </w:rPr>
              <w:t>Yes</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80F9FD" w14:textId="35D5A8C6" w:rsidR="002117B2" w:rsidRDefault="00616284">
            <w:pPr>
              <w:spacing w:before="40" w:after="40"/>
              <w:ind w:left="100" w:right="100"/>
            </w:pPr>
            <w:r>
              <w:rPr>
                <w:rFonts w:ascii="Calibri" w:eastAsia="Calibri" w:hAnsi="Calibri" w:cs="Calibri"/>
                <w:color w:val="111111"/>
                <w:sz w:val="18"/>
                <w:szCs w:val="18"/>
              </w:rPr>
              <w:t xml:space="preserve">1A4bii Residential: Household and Gardening (Mobile), </w:t>
            </w: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2</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xml:space="preserve">, NMVOC,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xml:space="preserve">, BaP, PAHs, PCBs, HCB, Cd, Hg, Pb, PCDD/F,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10</w:t>
            </w:r>
            <w:r>
              <w:rPr>
                <w:rFonts w:ascii="Calibri" w:eastAsia="Calibri" w:hAnsi="Calibri" w:cs="Calibri"/>
                <w:color w:val="111111"/>
                <w:sz w:val="18"/>
                <w:szCs w:val="18"/>
              </w:rPr>
              <w:t>, CO, 1990-2018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035BBE"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E3532D"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FAC64E"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2E523ACD"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CC652D" w14:textId="77777777"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1A4bii Residential: Household and Gardening (Mobile), for all fuels and pollutants, for 2010-2018 the TERT noted that there is a lack of transparency regarding the fact that in tables in IIR 2020, in tables 35 and 36 fuel consumption for this category is included and in tables 26, 27 and 28 Tier 2 emissions factors are presented, whereas in NFR 2020 table corresponding emissions are still reported as 'NO'. This does not relate to an over- or under-estimate of emissions since emissions are reported under other NFR categories (such as 1A4aii and 1A4cii). This was raised during the 2017, 2018 and 2019 NECD reviews. In response to a question raised during the review, Lithuania explained that activity data included in the aforementioned tables refer to NFR categories 1A4aii and 1A4cii and that for category 1A4bii diesel fuel was used only until 1995. After 1995 mostly electric equipment is used.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provides a thorough explanation of this issue in the 2021 IIR submission and correct the tables accordingly in order to reflect to which category the activity data refer to.</w:t>
            </w:r>
          </w:p>
        </w:tc>
      </w:tr>
      <w:tr w:rsidR="002117B2" w14:paraId="798EF26D"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3A6A0F1"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A79088E"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04A029C"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252D80A"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F36C868"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3B31048"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7844D1C"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4CD398AA"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F735D5" w14:textId="77777777" w:rsidR="002117B2" w:rsidRDefault="00616284">
            <w:pPr>
              <w:spacing w:before="40" w:after="40"/>
              <w:ind w:left="100" w:right="100"/>
            </w:pPr>
            <w:r>
              <w:rPr>
                <w:rFonts w:ascii="Calibri" w:eastAsia="Calibri" w:hAnsi="Calibri" w:cs="Calibri"/>
                <w:color w:val="111111"/>
                <w:sz w:val="18"/>
                <w:szCs w:val="18"/>
              </w:rPr>
              <w:t>2019 (2)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D91E7E" w14:textId="77777777" w:rsidR="002117B2" w:rsidRDefault="00616284">
            <w:pPr>
              <w:spacing w:before="40" w:after="40"/>
              <w:ind w:left="100" w:right="100"/>
            </w:pPr>
            <w:r>
              <w:rPr>
                <w:rFonts w:ascii="Calibri" w:eastAsia="Calibri" w:hAnsi="Calibri" w:cs="Calibri"/>
                <w:color w:val="111111"/>
                <w:sz w:val="18"/>
                <w:szCs w:val="18"/>
              </w:rPr>
              <w:t>LT-1A4ci-2019-0003</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73BA31"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BAAB4A" w14:textId="77777777" w:rsidR="002117B2" w:rsidRDefault="00616284">
            <w:pPr>
              <w:spacing w:before="40" w:after="40"/>
              <w:ind w:left="100" w:right="100"/>
            </w:pPr>
            <w:r>
              <w:rPr>
                <w:rFonts w:ascii="Calibri" w:eastAsia="Calibri" w:hAnsi="Calibri" w:cs="Calibri"/>
                <w:color w:val="111111"/>
                <w:sz w:val="18"/>
                <w:szCs w:val="18"/>
              </w:rPr>
              <w:t>1A4ci Agriculture/Forestry/Fishing: Stationary, PCDD/F, PCBs, 1990-2018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4A0647"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DFCE2D"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F55BE7"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1AE17111"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94933D" w14:textId="77777777"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1A4ci Agriculture/Forestry/Fishing: Stationary, for PCDD/F, PCBs, in all years the TERT noted that there is a lack of transparency regarding recalculations. This does not relate to an over- or under-estimate of emissions. In response to a question raised during the review, Lithuania provided abatement data and a summary of the national EF research report. Lithuania clarified that the abatement efficiencies are used for 1A1a as no better information is available, and as the sample of the LSC project was not big enough to distinguish among different sectors.  </w:t>
            </w:r>
            <w:r>
              <w:rPr>
                <w:rFonts w:ascii="Calibri" w:eastAsia="Calibri" w:hAnsi="Calibri" w:cs="Calibri"/>
                <w:color w:val="000000"/>
                <w:sz w:val="18"/>
                <w:szCs w:val="18"/>
              </w:rPr>
              <w:br/>
            </w:r>
            <w:r>
              <w:rPr>
                <w:rFonts w:ascii="Calibri" w:eastAsia="Calibri" w:hAnsi="Calibri" w:cs="Calibri"/>
                <w:b/>
                <w:color w:val="000000"/>
                <w:sz w:val="18"/>
                <w:szCs w:val="18"/>
              </w:rPr>
              <w:t>The TERT commends Lithuania for providing a summary in English of the national EF research report and recommends that Lithuania include this information in the IIR to improve transparency. Further, the TERT recommends that Lithuania include in the 2021 IIR a detailed description of recalculations.</w:t>
            </w:r>
          </w:p>
        </w:tc>
      </w:tr>
      <w:tr w:rsidR="002117B2" w14:paraId="72758E9D"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5BB4DD9"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16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DA67246"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57AA53F" w14:textId="77777777" w:rsidR="002117B2" w:rsidRDefault="00616284">
            <w:pPr>
              <w:spacing w:before="40" w:after="40"/>
              <w:ind w:left="100" w:right="100"/>
            </w:pPr>
            <w:r>
              <w:rPr>
                <w:rFonts w:ascii="Calibri" w:eastAsia="Calibri" w:hAnsi="Calibri" w:cs="Calibri"/>
                <w:color w:val="111111"/>
                <w:sz w:val="18"/>
                <w:szCs w:val="18"/>
              </w:rPr>
              <w:t>Key Category</w:t>
            </w:r>
          </w:p>
        </w:tc>
        <w:tc>
          <w:tcPr>
            <w:tcW w:w="504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D22361C" w14:textId="77777777" w:rsidR="002117B2" w:rsidRDefault="00616284">
            <w:pPr>
              <w:spacing w:before="40" w:after="40"/>
              <w:ind w:left="100" w:right="100"/>
            </w:pPr>
            <w:r>
              <w:rPr>
                <w:rFonts w:ascii="Calibri" w:eastAsia="Calibri" w:hAnsi="Calibri" w:cs="Calibri"/>
                <w:color w:val="111111"/>
                <w:sz w:val="18"/>
                <w:szCs w:val="18"/>
              </w:rPr>
              <w:t>NFR, Pollutant(s), Year(s)</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48289F0" w14:textId="77777777" w:rsidR="002117B2" w:rsidRDefault="00616284">
            <w:pPr>
              <w:spacing w:before="40" w:after="40"/>
              <w:ind w:left="100" w:right="100"/>
            </w:pPr>
            <w:r>
              <w:rPr>
                <w:rFonts w:ascii="Calibri" w:eastAsia="Calibri" w:hAnsi="Calibri" w:cs="Calibri"/>
                <w:color w:val="111111"/>
                <w:sz w:val="18"/>
                <w:szCs w:val="18"/>
              </w:rPr>
              <w:t>RE, TC, or UPTC in 2019</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EF2BE1D" w14:textId="77777777" w:rsidR="002117B2" w:rsidRDefault="00616284">
            <w:pPr>
              <w:spacing w:before="40" w:after="40"/>
              <w:ind w:left="100" w:right="100"/>
            </w:pPr>
            <w:r>
              <w:rPr>
                <w:rFonts w:ascii="Calibri" w:eastAsia="Calibri" w:hAnsi="Calibri" w:cs="Calibri"/>
                <w:color w:val="111111"/>
                <w:sz w:val="18"/>
                <w:szCs w:val="18"/>
              </w:rPr>
              <w:t>RE, TC, or UPTC in 2020</w:t>
            </w:r>
          </w:p>
        </w:tc>
        <w:tc>
          <w:tcPr>
            <w:tcW w:w="10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174372D" w14:textId="77777777" w:rsidR="002117B2" w:rsidRDefault="00616284">
            <w:pPr>
              <w:spacing w:before="40" w:after="40"/>
              <w:ind w:left="100" w:right="100"/>
            </w:pPr>
            <w:r>
              <w:rPr>
                <w:rFonts w:ascii="Calibri" w:eastAsia="Calibri" w:hAnsi="Calibri" w:cs="Calibri"/>
                <w:color w:val="111111"/>
                <w:sz w:val="18"/>
                <w:szCs w:val="18"/>
              </w:rPr>
              <w:t>Tier 1 used for Key Category</w:t>
            </w:r>
          </w:p>
        </w:tc>
      </w:tr>
      <w:tr w:rsidR="002117B2" w14:paraId="46CED419"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ED1200" w14:textId="77777777" w:rsidR="002117B2" w:rsidRDefault="00616284">
            <w:pPr>
              <w:spacing w:before="40" w:after="40"/>
              <w:ind w:left="100" w:right="100"/>
            </w:pPr>
            <w:r>
              <w:rPr>
                <w:rFonts w:ascii="Calibri" w:eastAsia="Calibri" w:hAnsi="Calibri" w:cs="Calibri"/>
                <w:color w:val="111111"/>
                <w:sz w:val="18"/>
                <w:szCs w:val="18"/>
              </w:rPr>
              <w:t>2018 (3)</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D8524D" w14:textId="77777777" w:rsidR="002117B2" w:rsidRDefault="00616284">
            <w:pPr>
              <w:spacing w:before="40" w:after="40"/>
              <w:ind w:left="100" w:right="100"/>
            </w:pPr>
            <w:r>
              <w:rPr>
                <w:rFonts w:ascii="Calibri" w:eastAsia="Calibri" w:hAnsi="Calibri" w:cs="Calibri"/>
                <w:color w:val="111111"/>
                <w:sz w:val="18"/>
                <w:szCs w:val="18"/>
              </w:rPr>
              <w:t>LT-2D3g-2018-0002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DA5F0A" w14:textId="77777777" w:rsidR="002117B2" w:rsidRDefault="00616284">
            <w:pPr>
              <w:spacing w:before="40" w:after="40"/>
              <w:ind w:left="100" w:right="100"/>
            </w:pPr>
            <w:r>
              <w:rPr>
                <w:rFonts w:ascii="Calibri" w:eastAsia="Calibri" w:hAnsi="Calibri" w:cs="Calibri"/>
                <w:color w:val="111111"/>
                <w:sz w:val="18"/>
                <w:szCs w:val="18"/>
              </w:rPr>
              <w:t>No</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7CE145" w14:textId="77777777" w:rsidR="002117B2" w:rsidRDefault="00616284">
            <w:pPr>
              <w:spacing w:before="40" w:after="40"/>
              <w:ind w:left="100" w:right="100"/>
            </w:pPr>
            <w:r>
              <w:rPr>
                <w:rFonts w:ascii="Calibri" w:eastAsia="Calibri" w:hAnsi="Calibri" w:cs="Calibri"/>
                <w:color w:val="111111"/>
                <w:sz w:val="18"/>
                <w:szCs w:val="18"/>
              </w:rPr>
              <w:t>2D3g Chemical Products, NMVOC, PAHs, 1990-2018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DAD75B"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8475E1" w14:textId="77777777" w:rsidR="002117B2" w:rsidRDefault="00616284">
            <w:pPr>
              <w:spacing w:before="40" w:after="40"/>
              <w:ind w:left="100" w:right="100"/>
            </w:pPr>
            <w:r>
              <w:rPr>
                <w:rFonts w:ascii="Calibri" w:eastAsia="Calibri" w:hAnsi="Calibri" w:cs="Calibri"/>
                <w:color w:val="111111"/>
                <w:sz w:val="18"/>
                <w:szCs w:val="18"/>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AB1EF1"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5F33E9F2" w14:textId="77777777">
        <w:trPr>
          <w:cantSplit/>
          <w:jc w:val="center"/>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ABA70A" w14:textId="77777777" w:rsidR="002117B2" w:rsidRDefault="00616284">
            <w:pPr>
              <w:spacing w:before="40" w:after="40"/>
              <w:ind w:left="100" w:right="100"/>
            </w:pPr>
            <w:r>
              <w:rPr>
                <w:rFonts w:ascii="Calibri" w:eastAsia="Calibri" w:hAnsi="Calibri" w:cs="Calibri"/>
                <w:b/>
                <w:color w:val="000000"/>
                <w:sz w:val="18"/>
                <w:szCs w:val="18"/>
              </w:rPr>
              <w:t xml:space="preserve">Assessment of the implementation of the initial 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category 2D3g Chemical Products and pollutants PAHs for all years, the TERT noted that emissions are reported as 'NA' and that there is a lack of transparency in the IIR concerning the activities covered by category 2D3g. This was raised during the 2018 and 2019 NECD reviews. In response to a question raised during the review Lithuania provided some clarification on emissions of NMVOC but did not address the PAH emissions. The TERT noted that the issue is below the threshold of significance for a technical correction.  </w:t>
            </w:r>
            <w:r>
              <w:rPr>
                <w:rFonts w:ascii="Calibri" w:eastAsia="Calibri" w:hAnsi="Calibri" w:cs="Calibri"/>
                <w:color w:val="000000"/>
                <w:sz w:val="18"/>
                <w:szCs w:val="18"/>
              </w:rPr>
              <w:br/>
            </w:r>
            <w:r>
              <w:rPr>
                <w:rFonts w:ascii="Calibri" w:eastAsia="Calibri" w:hAnsi="Calibri" w:cs="Calibri"/>
                <w:b/>
                <w:color w:val="000000"/>
                <w:sz w:val="18"/>
                <w:szCs w:val="18"/>
              </w:rPr>
              <w:t>The TERT reiterates the recommendation that Lithuania updated the notation key for PAHs emissions and clearly describes in which NFR category emissions from asphalt blowing emissions are accounted for, what methodology has been used and to clearly document this in the IIR in its next submission. The TERT also recommends that where possible Lithuania presents emissions for PAH by species for relevant categories and subcategories including 2D3g.</w:t>
            </w:r>
          </w:p>
        </w:tc>
      </w:tr>
    </w:tbl>
    <w:p w14:paraId="65A2D569" w14:textId="77777777" w:rsidR="00BC66E0" w:rsidRDefault="00BC66E0">
      <w:r>
        <w:br w:type="page"/>
      </w:r>
    </w:p>
    <w:p w14:paraId="32E1F796" w14:textId="77777777" w:rsidR="00BC66E0" w:rsidRDefault="00BC66E0" w:rsidP="00A207F0">
      <w:pPr>
        <w:sectPr w:rsidR="00BC66E0" w:rsidSect="00C93813">
          <w:pgSz w:w="16838" w:h="11906" w:orient="landscape"/>
          <w:pgMar w:top="1440" w:right="1440" w:bottom="1440" w:left="1440" w:header="708" w:footer="708" w:gutter="0"/>
          <w:cols w:space="708"/>
          <w:docGrid w:linePitch="360"/>
        </w:sectPr>
      </w:pPr>
    </w:p>
    <w:p w14:paraId="21E3F230" w14:textId="118BB4C7" w:rsidR="00BC66E0" w:rsidRPr="007B60E9" w:rsidRDefault="00BC66E0" w:rsidP="007B60E9">
      <w:pPr>
        <w:pStyle w:val="Antrat1"/>
      </w:pPr>
      <w:bookmarkStart w:id="24" w:name="_Toc53738309"/>
      <w:r w:rsidRPr="007B60E9">
        <w:t xml:space="preserve">Findings and </w:t>
      </w:r>
      <w:r w:rsidR="006E72F8">
        <w:t>c</w:t>
      </w:r>
      <w:r w:rsidRPr="007B60E9">
        <w:t xml:space="preserve">onclusions from the </w:t>
      </w:r>
      <w:r w:rsidR="005739D7" w:rsidRPr="007B60E9">
        <w:t>t</w:t>
      </w:r>
      <w:r w:rsidRPr="007B60E9">
        <w:t xml:space="preserve">echnical </w:t>
      </w:r>
      <w:r w:rsidR="005739D7" w:rsidRPr="007B60E9">
        <w:t>e</w:t>
      </w:r>
      <w:r w:rsidRPr="007B60E9">
        <w:t xml:space="preserve">xpert </w:t>
      </w:r>
      <w:r w:rsidR="005739D7" w:rsidRPr="007B60E9">
        <w:t>r</w:t>
      </w:r>
      <w:r w:rsidRPr="007B60E9">
        <w:t xml:space="preserve">eview </w:t>
      </w:r>
      <w:r w:rsidR="005739D7" w:rsidRPr="007B60E9">
        <w:t>t</w:t>
      </w:r>
      <w:r w:rsidRPr="007B60E9">
        <w:t>eam for the LPS data</w:t>
      </w:r>
      <w:bookmarkEnd w:id="24"/>
    </w:p>
    <w:p w14:paraId="40CED3DC" w14:textId="09B39915" w:rsidR="00E044CB" w:rsidRDefault="00BC66E0" w:rsidP="00E044CB">
      <w:pPr>
        <w:pStyle w:val="StandardNum"/>
        <w:ind w:left="0"/>
      </w:pPr>
      <w:r w:rsidRPr="00E26436">
        <w:t>T</w:t>
      </w:r>
      <w:r>
        <w:t xml:space="preserve">he technical expert review team </w:t>
      </w:r>
      <w:r w:rsidR="00E044CB">
        <w:t xml:space="preserve">performed an in-depth review of the LPS data submitted </w:t>
      </w:r>
      <w:r w:rsidR="00174474">
        <w:t xml:space="preserve">by </w:t>
      </w:r>
      <w:r w:rsidR="00E044CB">
        <w:t xml:space="preserve">1 May 2017. </w:t>
      </w:r>
      <w:r w:rsidR="00174474">
        <w:t>R</w:t>
      </w:r>
      <w:r w:rsidR="00E044CB">
        <w:t>esubmission</w:t>
      </w:r>
      <w:r w:rsidR="00174474">
        <w:t>s up</w:t>
      </w:r>
      <w:r w:rsidR="00E044CB">
        <w:t xml:space="preserve"> until </w:t>
      </w:r>
      <w:r w:rsidR="00E9646F" w:rsidRPr="00E9646F">
        <w:t>1</w:t>
      </w:r>
      <w:r w:rsidR="00E9646F">
        <w:t>5</w:t>
      </w:r>
      <w:r w:rsidR="00E9646F" w:rsidRPr="00E9646F">
        <w:t xml:space="preserve"> May 20</w:t>
      </w:r>
      <w:r w:rsidR="00E9646F">
        <w:t>20</w:t>
      </w:r>
      <w:r w:rsidR="00E9646F" w:rsidRPr="00E9646F">
        <w:t xml:space="preserve"> </w:t>
      </w:r>
      <w:r w:rsidR="00E044CB">
        <w:t>were taken into account for the review. A</w:t>
      </w:r>
      <w:r w:rsidRPr="009D7C35">
        <w:t xml:space="preserve">dditional information provided by </w:t>
      </w:r>
      <w:r w:rsidR="001977CE">
        <w:t xml:space="preserve">Lithuania </w:t>
      </w:r>
      <w:r w:rsidRPr="009D7C35">
        <w:t>during the review w</w:t>
      </w:r>
      <w:r w:rsidR="00D71332">
        <w:t>as</w:t>
      </w:r>
      <w:r w:rsidRPr="009D7C35">
        <w:t xml:space="preserve"> taken into account until </w:t>
      </w:r>
      <w:r w:rsidR="00E9646F" w:rsidRPr="00E9646F">
        <w:t>1</w:t>
      </w:r>
      <w:r w:rsidR="00E9646F">
        <w:t>5</w:t>
      </w:r>
      <w:r w:rsidR="00E9646F" w:rsidRPr="00E9646F">
        <w:t xml:space="preserve"> May </w:t>
      </w:r>
      <w:r w:rsidRPr="009D7C35">
        <w:t>20</w:t>
      </w:r>
      <w:r w:rsidR="00E044CB">
        <w:t>20</w:t>
      </w:r>
      <w:r w:rsidRPr="009D7C35">
        <w:t>.</w:t>
      </w:r>
      <w:r w:rsidR="00E044CB">
        <w:t xml:space="preserve"> </w:t>
      </w:r>
    </w:p>
    <w:p w14:paraId="59A27025" w14:textId="77777777" w:rsidR="00E044CB" w:rsidRPr="009D7C35" w:rsidRDefault="00E044CB" w:rsidP="00E044CB">
      <w:pPr>
        <w:pStyle w:val="StandardNum"/>
        <w:ind w:left="0"/>
      </w:pPr>
      <w:r w:rsidRPr="00A054EA">
        <w:t xml:space="preserve">The </w:t>
      </w:r>
      <w:r>
        <w:t>technical expert review team</w:t>
      </w:r>
      <w:r w:rsidRPr="00A054EA">
        <w:t xml:space="preserve"> carried out checks to verify the </w:t>
      </w:r>
      <w:r w:rsidRPr="00FA7265">
        <w:t>transparency, accuracy, consistency, comparability and completeness</w:t>
      </w:r>
      <w:r w:rsidRPr="00A054EA">
        <w:t xml:space="preserve"> of </w:t>
      </w:r>
      <w:r w:rsidR="00174474">
        <w:t xml:space="preserve">the most recent submission of </w:t>
      </w:r>
      <w:r w:rsidR="00C038B6">
        <w:t xml:space="preserve">LPS data for the year 2015. </w:t>
      </w:r>
      <w:r w:rsidR="00963170">
        <w:t xml:space="preserve">The technical expert review team used submitted </w:t>
      </w:r>
      <w:r w:rsidR="00174474">
        <w:t>LPS data for the years 2016-2018</w:t>
      </w:r>
      <w:r w:rsidR="00963170">
        <w:t xml:space="preserve"> as a cross-check only</w:t>
      </w:r>
      <w:r w:rsidR="00C038B6">
        <w:t>.</w:t>
      </w:r>
    </w:p>
    <w:p w14:paraId="51C8256C" w14:textId="618F406A" w:rsidR="00B55C75" w:rsidRPr="00016EA1" w:rsidRDefault="00B55C75" w:rsidP="00B55C75">
      <w:pPr>
        <w:pStyle w:val="StandardNum"/>
        <w:ind w:left="0"/>
        <w:jc w:val="left"/>
      </w:pPr>
      <w:r>
        <w:fldChar w:fldCharType="begin"/>
      </w:r>
      <w:r>
        <w:instrText xml:space="preserve"> REF _Ref34030224 \h </w:instrText>
      </w:r>
      <w:r>
        <w:fldChar w:fldCharType="separate"/>
      </w:r>
      <w:r w:rsidR="00774955" w:rsidRPr="00016EA1">
        <w:t xml:space="preserve">Table </w:t>
      </w:r>
      <w:r w:rsidR="00774955">
        <w:rPr>
          <w:noProof/>
        </w:rPr>
        <w:t>7</w:t>
      </w:r>
      <w:r>
        <w:fldChar w:fldCharType="end"/>
      </w:r>
      <w:r>
        <w:t xml:space="preserve"> </w:t>
      </w:r>
      <w:r w:rsidRPr="00016EA1">
        <w:t>gives an overview of the number of recommendations</w:t>
      </w:r>
      <w:r>
        <w:t>,</w:t>
      </w:r>
      <w:r w:rsidRPr="00016EA1">
        <w:t xml:space="preserve"> revised estimates and </w:t>
      </w:r>
      <w:r>
        <w:t>unquantified</w:t>
      </w:r>
      <w:r w:rsidRPr="00016EA1">
        <w:t xml:space="preserve"> potential technical corrections for </w:t>
      </w:r>
      <w:r>
        <w:t>the gridded data</w:t>
      </w:r>
      <w:r w:rsidRPr="00016EA1">
        <w:t xml:space="preserve"> that are included in </w:t>
      </w:r>
      <w:r w:rsidRPr="00544470">
        <w:fldChar w:fldCharType="begin"/>
      </w:r>
      <w:r w:rsidRPr="00544470">
        <w:instrText xml:space="preserve"> REF _Ref34030212 \h  \* MERGEFORMAT </w:instrText>
      </w:r>
      <w:r w:rsidRPr="00544470">
        <w:fldChar w:fldCharType="separate"/>
      </w:r>
      <w:r w:rsidR="00774955" w:rsidRPr="005B3C97">
        <w:t xml:space="preserve">Table </w:t>
      </w:r>
      <w:r w:rsidR="00774955">
        <w:t>8</w:t>
      </w:r>
      <w:r w:rsidRPr="00544470">
        <w:fldChar w:fldCharType="end"/>
      </w:r>
      <w:r w:rsidRPr="00016EA1">
        <w:t>. The table also shows the range of recommendations, revised estimates</w:t>
      </w:r>
      <w:r>
        <w:t xml:space="preserve"> </w:t>
      </w:r>
      <w:r w:rsidRPr="00016EA1">
        <w:t xml:space="preserve">and </w:t>
      </w:r>
      <w:r>
        <w:t>unquantified</w:t>
      </w:r>
      <w:r w:rsidRPr="00016EA1">
        <w:t xml:space="preserve"> potential technical corrections that were included in the NECD review reports for other Member States</w:t>
      </w:r>
      <w:r>
        <w:t xml:space="preserve"> and the UK</w:t>
      </w:r>
      <w:r w:rsidRPr="00016EA1">
        <w:t>.</w:t>
      </w:r>
    </w:p>
    <w:p w14:paraId="47B51162" w14:textId="4A04651D" w:rsidR="00BC66E0" w:rsidRDefault="00D71332" w:rsidP="00BC66E0">
      <w:pPr>
        <w:pStyle w:val="StandardNum"/>
        <w:ind w:left="0"/>
      </w:pPr>
      <w:r w:rsidRPr="00544470">
        <w:fldChar w:fldCharType="begin"/>
      </w:r>
      <w:r w:rsidRPr="00544470">
        <w:instrText xml:space="preserve"> REF _Ref34030212 \h  \* MERGEFORMAT </w:instrText>
      </w:r>
      <w:r w:rsidRPr="00544470">
        <w:fldChar w:fldCharType="separate"/>
      </w:r>
      <w:r w:rsidR="00774955" w:rsidRPr="005B3C97">
        <w:t xml:space="preserve">Table </w:t>
      </w:r>
      <w:r w:rsidR="00774955">
        <w:t>8</w:t>
      </w:r>
      <w:r w:rsidRPr="00544470">
        <w:fldChar w:fldCharType="end"/>
      </w:r>
      <w:r w:rsidRPr="00544470">
        <w:t xml:space="preserve"> </w:t>
      </w:r>
      <w:r w:rsidR="00A155E0">
        <w:t>provides all the recommendations</w:t>
      </w:r>
      <w:r w:rsidR="00B8596C" w:rsidRPr="00B8596C">
        <w:t xml:space="preserve"> </w:t>
      </w:r>
      <w:r w:rsidR="00A155E0">
        <w:t xml:space="preserve">from the technical expert review team related to the LPS data including revised estimates and </w:t>
      </w:r>
      <w:r w:rsidR="003D1D47">
        <w:t xml:space="preserve">unquantified </w:t>
      </w:r>
      <w:r w:rsidR="00A155E0">
        <w:t>potential technical corrections. Technical Corrections were not applied during the review of the LPS data</w:t>
      </w:r>
      <w:r w:rsidR="00E044CB">
        <w:t>. The implementation of the recommendations will be followed-up in the NECD review 2021.</w:t>
      </w:r>
    </w:p>
    <w:p w14:paraId="3622E817" w14:textId="77777777" w:rsidR="00877761" w:rsidRPr="00016EA1" w:rsidRDefault="00877761" w:rsidP="00877761">
      <w:pPr>
        <w:pStyle w:val="StandardNum"/>
        <w:numPr>
          <w:ilvl w:val="0"/>
          <w:numId w:val="0"/>
        </w:numPr>
        <w:jc w:val="left"/>
      </w:pPr>
    </w:p>
    <w:p w14:paraId="742E9B76" w14:textId="3C83E5EF" w:rsidR="00852E3F" w:rsidRDefault="00877761" w:rsidP="00852E3F">
      <w:pPr>
        <w:pStyle w:val="Antrat"/>
        <w:keepNext/>
        <w:keepLines/>
      </w:pPr>
      <w:bookmarkStart w:id="25" w:name="_Ref34030224"/>
      <w:bookmarkStart w:id="26" w:name="_Toc53738321"/>
      <w:r w:rsidRPr="00016EA1">
        <w:t xml:space="preserve">Table </w:t>
      </w:r>
      <w:r>
        <w:fldChar w:fldCharType="begin"/>
      </w:r>
      <w:r>
        <w:instrText>SEQ Table \* ARABIC</w:instrText>
      </w:r>
      <w:r>
        <w:fldChar w:fldCharType="separate"/>
      </w:r>
      <w:r w:rsidR="00774955">
        <w:rPr>
          <w:noProof/>
        </w:rPr>
        <w:t>7</w:t>
      </w:r>
      <w:r>
        <w:fldChar w:fldCharType="end"/>
      </w:r>
      <w:bookmarkEnd w:id="25"/>
      <w:r w:rsidR="0021477B">
        <w:rPr>
          <w:noProof/>
        </w:rPr>
        <w:t>:</w:t>
      </w:r>
      <w:r w:rsidRPr="00016EA1">
        <w:t xml:space="preserve"> Overview of </w:t>
      </w:r>
      <w:r w:rsidR="00852E3F">
        <w:t xml:space="preserve">the </w:t>
      </w:r>
      <w:r w:rsidRPr="00016EA1">
        <w:t xml:space="preserve">number of findings from </w:t>
      </w:r>
      <w:r w:rsidR="00852E3F">
        <w:t xml:space="preserve">the </w:t>
      </w:r>
      <w:r w:rsidRPr="00016EA1">
        <w:t xml:space="preserve">NECD </w:t>
      </w:r>
      <w:r w:rsidR="00852E3F">
        <w:t>R</w:t>
      </w:r>
      <w:r w:rsidRPr="00016EA1">
        <w:t xml:space="preserve">eview 2020 </w:t>
      </w:r>
      <w:r w:rsidR="00852E3F">
        <w:t>related to LPS data</w:t>
      </w:r>
      <w:bookmarkEnd w:id="26"/>
    </w:p>
    <w:tbl>
      <w:tblPr>
        <w:tblW w:w="9562" w:type="dxa"/>
        <w:jc w:val="center"/>
        <w:tblLayout w:type="fixed"/>
        <w:tblLook w:val="0420" w:firstRow="1" w:lastRow="0" w:firstColumn="0" w:lastColumn="0" w:noHBand="0" w:noVBand="1"/>
      </w:tblPr>
      <w:tblGrid>
        <w:gridCol w:w="4120"/>
        <w:gridCol w:w="1814"/>
        <w:gridCol w:w="1814"/>
        <w:gridCol w:w="1814"/>
      </w:tblGrid>
      <w:tr w:rsidR="002117B2" w14:paraId="3C00741E" w14:textId="77777777">
        <w:trPr>
          <w:cantSplit/>
          <w:tblHeader/>
          <w:jc w:val="center"/>
        </w:trPr>
        <w:tc>
          <w:tcPr>
            <w:tcW w:w="4118" w:type="dxa"/>
            <w:vMerge w:val="restart"/>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3B0EE74B" w14:textId="77777777" w:rsidR="002117B2" w:rsidRDefault="002117B2">
            <w:pPr>
              <w:spacing w:after="0"/>
              <w:jc w:val="center"/>
            </w:pPr>
          </w:p>
        </w:tc>
        <w:tc>
          <w:tcPr>
            <w:tcW w:w="5442" w:type="dxa"/>
            <w:gridSpan w:val="3"/>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45CBF19A" w14:textId="598DE142" w:rsidR="002117B2" w:rsidRDefault="00616284">
            <w:pPr>
              <w:spacing w:after="0"/>
              <w:jc w:val="center"/>
            </w:pPr>
            <w:r>
              <w:rPr>
                <w:rFonts w:ascii="Calibri" w:eastAsia="Calibri" w:hAnsi="Calibri" w:cs="Calibri"/>
                <w:color w:val="000000"/>
                <w:sz w:val="20"/>
                <w:szCs w:val="20"/>
              </w:rPr>
              <w:t>Findings included in the 2020 Review Report by year o</w:t>
            </w:r>
            <w:r w:rsidR="006E72F8">
              <w:rPr>
                <w:rFonts w:ascii="Calibri" w:eastAsia="Calibri" w:hAnsi="Calibri" w:cs="Calibri"/>
                <w:color w:val="000000"/>
                <w:sz w:val="20"/>
                <w:szCs w:val="20"/>
              </w:rPr>
              <w:t>f</w:t>
            </w:r>
            <w:r>
              <w:rPr>
                <w:rFonts w:ascii="Calibri" w:eastAsia="Calibri" w:hAnsi="Calibri" w:cs="Calibri"/>
                <w:color w:val="000000"/>
                <w:sz w:val="20"/>
                <w:szCs w:val="20"/>
              </w:rPr>
              <w:t xml:space="preserve"> origin (see Table 8 below)</w:t>
            </w:r>
          </w:p>
        </w:tc>
      </w:tr>
      <w:tr w:rsidR="002117B2" w14:paraId="160CDA49" w14:textId="77777777">
        <w:trPr>
          <w:cantSplit/>
          <w:tblHeader/>
          <w:jc w:val="center"/>
        </w:trPr>
        <w:tc>
          <w:tcPr>
            <w:tcW w:w="4118" w:type="dxa"/>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78736E33" w14:textId="77777777" w:rsidR="002117B2" w:rsidRDefault="002117B2">
            <w:pPr>
              <w:spacing w:after="0"/>
              <w:jc w:val="center"/>
            </w:pPr>
          </w:p>
        </w:tc>
        <w:tc>
          <w:tcPr>
            <w:tcW w:w="1814"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7F57896B" w14:textId="77777777" w:rsidR="002117B2" w:rsidRDefault="00616284">
            <w:pPr>
              <w:spacing w:after="0"/>
              <w:jc w:val="center"/>
            </w:pPr>
            <w:r>
              <w:rPr>
                <w:rFonts w:ascii="Calibri" w:eastAsia="Calibri" w:hAnsi="Calibri" w:cs="Calibri"/>
                <w:color w:val="000000"/>
                <w:sz w:val="20"/>
                <w:szCs w:val="20"/>
              </w:rPr>
              <w:t>RE*</w:t>
            </w:r>
          </w:p>
        </w:tc>
        <w:tc>
          <w:tcPr>
            <w:tcW w:w="1814"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5C3FC77A" w14:textId="77777777" w:rsidR="002117B2" w:rsidRDefault="00616284">
            <w:pPr>
              <w:spacing w:after="0"/>
              <w:jc w:val="center"/>
            </w:pPr>
            <w:r>
              <w:rPr>
                <w:rFonts w:ascii="Calibri" w:eastAsia="Calibri" w:hAnsi="Calibri" w:cs="Calibri"/>
                <w:color w:val="000000"/>
                <w:sz w:val="20"/>
                <w:szCs w:val="20"/>
              </w:rPr>
              <w:t>UPTC*</w:t>
            </w:r>
          </w:p>
        </w:tc>
        <w:tc>
          <w:tcPr>
            <w:tcW w:w="1814"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15D48C08" w14:textId="77777777" w:rsidR="002117B2" w:rsidRDefault="00616284">
            <w:pPr>
              <w:spacing w:after="0"/>
              <w:jc w:val="center"/>
            </w:pPr>
            <w:r>
              <w:rPr>
                <w:rFonts w:ascii="Calibri" w:eastAsia="Calibri" w:hAnsi="Calibri" w:cs="Calibri"/>
                <w:color w:val="000000"/>
                <w:sz w:val="20"/>
                <w:szCs w:val="20"/>
              </w:rPr>
              <w:t>Recom.*</w:t>
            </w:r>
          </w:p>
        </w:tc>
      </w:tr>
      <w:tr w:rsidR="002117B2" w14:paraId="5DF820C1" w14:textId="77777777">
        <w:trPr>
          <w:cantSplit/>
          <w:jc w:val="center"/>
        </w:trPr>
        <w:tc>
          <w:tcPr>
            <w:tcW w:w="4118"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061EF206" w14:textId="77777777" w:rsidR="002117B2" w:rsidRDefault="00616284">
            <w:pPr>
              <w:spacing w:before="40" w:after="40"/>
              <w:ind w:left="100" w:right="100"/>
              <w:jc w:val="center"/>
            </w:pPr>
            <w:r>
              <w:rPr>
                <w:rFonts w:ascii="Calibri" w:eastAsia="Calibri" w:hAnsi="Calibri" w:cs="Calibri"/>
                <w:color w:val="111111"/>
                <w:sz w:val="20"/>
                <w:szCs w:val="20"/>
              </w:rPr>
              <w:t>Total from NECD Review 2020</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3778F0"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278833" w14:textId="77777777" w:rsidR="002117B2" w:rsidRDefault="00616284">
            <w:pPr>
              <w:spacing w:before="40" w:after="40"/>
              <w:ind w:left="100" w:right="100"/>
              <w:jc w:val="center"/>
            </w:pPr>
            <w:r>
              <w:rPr>
                <w:rFonts w:ascii="Calibri" w:eastAsia="Calibri" w:hAnsi="Calibri" w:cs="Calibri"/>
                <w:color w:val="111111"/>
                <w:sz w:val="20"/>
                <w:szCs w:val="20"/>
              </w:rPr>
              <w:t>1</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A0CD7E" w14:textId="77777777" w:rsidR="002117B2" w:rsidRDefault="00616284">
            <w:pPr>
              <w:spacing w:before="40" w:after="40"/>
              <w:ind w:left="100" w:right="100"/>
              <w:jc w:val="center"/>
            </w:pPr>
            <w:r>
              <w:rPr>
                <w:rFonts w:ascii="Calibri" w:eastAsia="Calibri" w:hAnsi="Calibri" w:cs="Calibri"/>
                <w:color w:val="111111"/>
                <w:sz w:val="20"/>
                <w:szCs w:val="20"/>
              </w:rPr>
              <w:t>2</w:t>
            </w:r>
          </w:p>
        </w:tc>
      </w:tr>
      <w:tr w:rsidR="002117B2" w14:paraId="50A2B425" w14:textId="77777777">
        <w:trPr>
          <w:cantSplit/>
          <w:jc w:val="center"/>
        </w:trPr>
        <w:tc>
          <w:tcPr>
            <w:tcW w:w="4118"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130D7EFB" w14:textId="77777777" w:rsidR="002117B2" w:rsidRDefault="00616284">
            <w:pPr>
              <w:spacing w:before="40" w:after="40"/>
              <w:ind w:left="100" w:right="100"/>
              <w:jc w:val="center"/>
            </w:pPr>
            <w:r>
              <w:rPr>
                <w:rFonts w:ascii="Calibri" w:eastAsia="Calibri" w:hAnsi="Calibri" w:cs="Calibri"/>
                <w:color w:val="111111"/>
                <w:sz w:val="20"/>
                <w:szCs w:val="20"/>
              </w:rPr>
              <w:t>(Range for All Member States and the UK)</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CD281F" w14:textId="77777777" w:rsidR="002117B2" w:rsidRDefault="00616284">
            <w:pPr>
              <w:spacing w:before="40" w:after="40"/>
              <w:ind w:left="100" w:right="100"/>
              <w:jc w:val="center"/>
            </w:pPr>
            <w:r>
              <w:rPr>
                <w:rFonts w:ascii="Calibri" w:eastAsia="Calibri" w:hAnsi="Calibri" w:cs="Calibri"/>
                <w:color w:val="111111"/>
                <w:sz w:val="20"/>
                <w:szCs w:val="20"/>
              </w:rPr>
              <w:t>(0-13)</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88E4EE" w14:textId="77777777" w:rsidR="002117B2" w:rsidRDefault="00616284">
            <w:pPr>
              <w:spacing w:before="40" w:after="40"/>
              <w:ind w:left="100" w:right="100"/>
              <w:jc w:val="center"/>
            </w:pPr>
            <w:r>
              <w:rPr>
                <w:rFonts w:ascii="Calibri" w:eastAsia="Calibri" w:hAnsi="Calibri" w:cs="Calibri"/>
                <w:color w:val="111111"/>
                <w:sz w:val="20"/>
                <w:szCs w:val="20"/>
              </w:rPr>
              <w:t>(0-7)</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C37D16" w14:textId="77777777" w:rsidR="002117B2" w:rsidRDefault="00616284">
            <w:pPr>
              <w:spacing w:before="40" w:after="40"/>
              <w:ind w:left="100" w:right="100"/>
              <w:jc w:val="center"/>
            </w:pPr>
            <w:r>
              <w:rPr>
                <w:rFonts w:ascii="Calibri" w:eastAsia="Calibri" w:hAnsi="Calibri" w:cs="Calibri"/>
                <w:color w:val="111111"/>
                <w:sz w:val="20"/>
                <w:szCs w:val="20"/>
              </w:rPr>
              <w:t>(1-26)</w:t>
            </w:r>
          </w:p>
        </w:tc>
      </w:tr>
    </w:tbl>
    <w:p w14:paraId="0CE5D2BA" w14:textId="77777777" w:rsidR="00417817" w:rsidRPr="00A155E0" w:rsidRDefault="00417817" w:rsidP="00417817">
      <w:r w:rsidRPr="00101820">
        <w:rPr>
          <w:sz w:val="18"/>
          <w:szCs w:val="18"/>
        </w:rPr>
        <w:t xml:space="preserve">* RE = Revised Estimate, </w:t>
      </w:r>
      <w:r w:rsidR="006A556C">
        <w:rPr>
          <w:sz w:val="18"/>
          <w:szCs w:val="18"/>
        </w:rPr>
        <w:t>U</w:t>
      </w:r>
      <w:r w:rsidRPr="00101820">
        <w:rPr>
          <w:sz w:val="18"/>
          <w:szCs w:val="18"/>
        </w:rPr>
        <w:t xml:space="preserve">PTC = </w:t>
      </w:r>
      <w:r w:rsidR="006A556C">
        <w:rPr>
          <w:sz w:val="18"/>
          <w:szCs w:val="18"/>
        </w:rPr>
        <w:t xml:space="preserve">Unquantified </w:t>
      </w:r>
      <w:r w:rsidRPr="00101820">
        <w:rPr>
          <w:sz w:val="18"/>
          <w:szCs w:val="18"/>
        </w:rPr>
        <w:t>Potential Technical Correction, Recom. = Recommendation</w:t>
      </w:r>
    </w:p>
    <w:p w14:paraId="67D1D088" w14:textId="77777777" w:rsidR="00852E3F" w:rsidRDefault="00852E3F" w:rsidP="00852E3F"/>
    <w:p w14:paraId="7739DCA0" w14:textId="77777777" w:rsidR="00852E3F" w:rsidRPr="00852E3F" w:rsidRDefault="00852E3F" w:rsidP="00852E3F"/>
    <w:p w14:paraId="01D1E38F" w14:textId="77777777" w:rsidR="00877761" w:rsidRPr="0021221A" w:rsidRDefault="00877761" w:rsidP="00877761">
      <w:pPr>
        <w:keepNext/>
        <w:keepLines/>
      </w:pPr>
    </w:p>
    <w:p w14:paraId="6C139B1F" w14:textId="77777777" w:rsidR="003C4B25" w:rsidRDefault="003C4B25" w:rsidP="003C4B25">
      <w:pPr>
        <w:pStyle w:val="Antrat4"/>
        <w:spacing w:before="0" w:after="200" w:line="240" w:lineRule="auto"/>
        <w:rPr>
          <w:rFonts w:asciiTheme="minorHAnsi" w:hAnsiTheme="minorHAnsi" w:cstheme="minorHAnsi"/>
          <w:b/>
          <w:bCs/>
          <w:color w:val="44546A" w:themeColor="text2"/>
        </w:rPr>
        <w:sectPr w:rsidR="003C4B25" w:rsidSect="00C93813">
          <w:pgSz w:w="11906" w:h="16838"/>
          <w:pgMar w:top="1440" w:right="1440" w:bottom="1440" w:left="1440" w:header="708" w:footer="708" w:gutter="0"/>
          <w:cols w:space="708"/>
          <w:docGrid w:linePitch="360"/>
        </w:sectPr>
      </w:pPr>
    </w:p>
    <w:p w14:paraId="4732DA9E" w14:textId="74270995" w:rsidR="003C4B25" w:rsidRPr="005B3C97" w:rsidRDefault="003C4B25" w:rsidP="005B3C97">
      <w:pPr>
        <w:pStyle w:val="Antrat"/>
      </w:pPr>
      <w:bookmarkStart w:id="27" w:name="_Ref34030212"/>
      <w:bookmarkStart w:id="28" w:name="_Toc53738322"/>
      <w:r w:rsidRPr="005B3C97">
        <w:t xml:space="preserve">Table </w:t>
      </w:r>
      <w:r>
        <w:fldChar w:fldCharType="begin"/>
      </w:r>
      <w:r>
        <w:instrText>SEQ Table \* ARABIC</w:instrText>
      </w:r>
      <w:r>
        <w:fldChar w:fldCharType="separate"/>
      </w:r>
      <w:r w:rsidR="00774955">
        <w:rPr>
          <w:noProof/>
        </w:rPr>
        <w:t>8</w:t>
      </w:r>
      <w:r>
        <w:fldChar w:fldCharType="end"/>
      </w:r>
      <w:bookmarkEnd w:id="27"/>
      <w:r w:rsidRPr="005B3C97">
        <w:t xml:space="preserve">: </w:t>
      </w:r>
      <w:r w:rsidR="00963170" w:rsidRPr="005B3C97">
        <w:t>All r</w:t>
      </w:r>
      <w:r w:rsidRPr="005B3C97">
        <w:t>ecommendations</w:t>
      </w:r>
      <w:r w:rsidR="001977CE" w:rsidRPr="001977CE">
        <w:t xml:space="preserve">, revised estimates and unquantified potential technical corrections </w:t>
      </w:r>
      <w:r w:rsidR="00963170" w:rsidRPr="005B3C97">
        <w:t xml:space="preserve">made during the NECD Review 2020 </w:t>
      </w:r>
      <w:r w:rsidRPr="005B3C97">
        <w:t>for LPS data</w:t>
      </w:r>
      <w:bookmarkEnd w:id="28"/>
    </w:p>
    <w:tbl>
      <w:tblPr>
        <w:tblW w:w="14256" w:type="dxa"/>
        <w:jc w:val="center"/>
        <w:tblLayout w:type="fixed"/>
        <w:tblLook w:val="0420" w:firstRow="1" w:lastRow="0" w:firstColumn="0" w:lastColumn="0" w:noHBand="0" w:noVBand="1"/>
      </w:tblPr>
      <w:tblGrid>
        <w:gridCol w:w="3600"/>
        <w:gridCol w:w="2880"/>
        <w:gridCol w:w="4896"/>
        <w:gridCol w:w="2880"/>
      </w:tblGrid>
      <w:tr w:rsidR="002117B2" w14:paraId="7AA77DF8" w14:textId="77777777">
        <w:trPr>
          <w:cantSplit/>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4F9AE9A"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9ABFD31"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4896"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61D4A4B" w14:textId="77777777" w:rsidR="002117B2" w:rsidRDefault="00616284">
            <w:pPr>
              <w:spacing w:before="40" w:after="40"/>
              <w:ind w:left="100" w:right="100"/>
            </w:pPr>
            <w:r>
              <w:rPr>
                <w:rFonts w:ascii="Calibri" w:eastAsia="Calibri" w:hAnsi="Calibri" w:cs="Calibri"/>
                <w:color w:val="111111"/>
                <w:sz w:val="18"/>
                <w:szCs w:val="18"/>
              </w:rPr>
              <w:t>GNFR sector, Pollutant(s), Year(s)</w:t>
            </w:r>
          </w:p>
        </w:tc>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CB80513" w14:textId="77777777" w:rsidR="002117B2" w:rsidRDefault="00616284">
            <w:pPr>
              <w:spacing w:before="40" w:after="40"/>
              <w:ind w:left="100" w:right="100"/>
            </w:pPr>
            <w:r>
              <w:rPr>
                <w:rFonts w:ascii="Calibri" w:eastAsia="Calibri" w:hAnsi="Calibri" w:cs="Calibri"/>
                <w:color w:val="111111"/>
                <w:sz w:val="18"/>
                <w:szCs w:val="18"/>
              </w:rPr>
              <w:t>RE or UPTC in 2020</w:t>
            </w:r>
          </w:p>
        </w:tc>
      </w:tr>
      <w:tr w:rsidR="002117B2" w14:paraId="74DEA44F" w14:textId="77777777">
        <w:trPr>
          <w:cantSplit/>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988BA8" w14:textId="77777777" w:rsidR="002117B2" w:rsidRDefault="00616284">
            <w:pPr>
              <w:spacing w:before="40" w:after="40"/>
              <w:ind w:left="100" w:right="100"/>
            </w:pPr>
            <w:r>
              <w:rPr>
                <w:rFonts w:ascii="Calibri" w:eastAsia="Calibri" w:hAnsi="Calibri" w:cs="Calibri"/>
                <w:color w:val="111111"/>
                <w:sz w:val="18"/>
                <w:szCs w:val="18"/>
              </w:rPr>
              <w:t>2020 (1)</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32698D" w14:textId="77777777" w:rsidR="002117B2" w:rsidRDefault="00616284">
            <w:pPr>
              <w:spacing w:before="40" w:after="40"/>
              <w:ind w:left="100" w:right="100"/>
            </w:pPr>
            <w:r>
              <w:rPr>
                <w:rFonts w:ascii="Calibri" w:eastAsia="Calibri" w:hAnsi="Calibri" w:cs="Calibri"/>
                <w:color w:val="111111"/>
                <w:sz w:val="18"/>
                <w:szCs w:val="18"/>
              </w:rPr>
              <w:t>LT-LPS-GEN-2020-0001</w:t>
            </w:r>
          </w:p>
        </w:tc>
        <w:tc>
          <w:tcPr>
            <w:tcW w:w="4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07FE92" w14:textId="1F2CDDE5" w:rsidR="002117B2" w:rsidRDefault="00616284">
            <w:pPr>
              <w:spacing w:before="40" w:after="40"/>
              <w:ind w:left="100" w:right="100"/>
            </w:pPr>
            <w:r>
              <w:rPr>
                <w:rFonts w:ascii="Calibri" w:eastAsia="Calibri" w:hAnsi="Calibri" w:cs="Calibri"/>
                <w:color w:val="111111"/>
                <w:sz w:val="18"/>
                <w:szCs w:val="18"/>
              </w:rPr>
              <w:t xml:space="preserve">General,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PAHs, PCBs, HCB, Cd, Hg, Pb, PCDD/F, 2015</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BDF14B" w14:textId="77777777" w:rsidR="002117B2" w:rsidRDefault="00616284">
            <w:pPr>
              <w:spacing w:before="40" w:after="40"/>
              <w:ind w:left="100" w:right="100"/>
            </w:pPr>
            <w:r>
              <w:rPr>
                <w:rFonts w:ascii="Calibri" w:eastAsia="Calibri" w:hAnsi="Calibri" w:cs="Calibri"/>
                <w:color w:val="111111"/>
                <w:sz w:val="18"/>
                <w:szCs w:val="18"/>
              </w:rPr>
              <w:t>UPTC</w:t>
            </w:r>
          </w:p>
        </w:tc>
      </w:tr>
      <w:tr w:rsidR="002117B2" w14:paraId="1D04DDE6" w14:textId="77777777">
        <w:trPr>
          <w:cantSplit/>
          <w:jc w:val="center"/>
        </w:trPr>
        <w:tc>
          <w:tcPr>
            <w:tcW w:w="142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525147" w14:textId="71AE50DE"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The TERT noted that no LPS emissions are reported for PAHs, Hg, Cd, Pb, PCBs, </w:t>
            </w:r>
            <w:r w:rsidRPr="00616284">
              <w:rPr>
                <w:rFonts w:ascii="Calibri" w:eastAsia="Calibri" w:hAnsi="Calibri" w:cs="Calibri"/>
                <w:color w:val="000000"/>
                <w:sz w:val="18"/>
                <w:szCs w:val="18"/>
              </w:rPr>
              <w:t>PM</w:t>
            </w:r>
            <w:r w:rsidRPr="00616284">
              <w:rPr>
                <w:rFonts w:ascii="Calibri" w:eastAsia="Calibri" w:hAnsi="Calibri" w:cs="Calibri"/>
                <w:color w:val="000000"/>
                <w:sz w:val="18"/>
                <w:szCs w:val="18"/>
                <w:vertAlign w:val="subscript"/>
              </w:rPr>
              <w:t>2.5</w:t>
            </w:r>
            <w:r>
              <w:rPr>
                <w:rFonts w:ascii="Calibri" w:eastAsia="Calibri" w:hAnsi="Calibri" w:cs="Calibri"/>
                <w:color w:val="000000"/>
                <w:sz w:val="18"/>
                <w:szCs w:val="18"/>
              </w:rPr>
              <w:t xml:space="preserve">, HCB, PCDD/F in the year 2015. The TERT notes the discussion already held throughout the review with Lithuania on the difficulties with making a corrected estimate and notes that it is currently not possible for the TERT to provide a numerical emission estimate for Large Point Sources.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provide LPS estimates for its future submissions for facilities that are expected to emit over the threshold for LPS as defined in the reporting guidance, reconciles these with its national totals and gridded estimates and fully documents its methods assumptions and data sources in its IIR.</w:t>
            </w:r>
          </w:p>
        </w:tc>
      </w:tr>
      <w:tr w:rsidR="002117B2" w14:paraId="5F6BB6E2" w14:textId="77777777">
        <w:trPr>
          <w:cantSplit/>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5EC17082"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E060EA8"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4896"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096D1E4C" w14:textId="77777777" w:rsidR="002117B2" w:rsidRDefault="00616284">
            <w:pPr>
              <w:spacing w:before="40" w:after="40"/>
              <w:ind w:left="100" w:right="100"/>
            </w:pPr>
            <w:r>
              <w:rPr>
                <w:rFonts w:ascii="Calibri" w:eastAsia="Calibri" w:hAnsi="Calibri" w:cs="Calibri"/>
                <w:color w:val="111111"/>
                <w:sz w:val="18"/>
                <w:szCs w:val="18"/>
              </w:rPr>
              <w:t>GNFR sector, Pollutant(s), Year(s)</w:t>
            </w:r>
          </w:p>
        </w:tc>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3A30063A" w14:textId="77777777" w:rsidR="002117B2" w:rsidRDefault="00616284">
            <w:pPr>
              <w:spacing w:before="40" w:after="40"/>
              <w:ind w:left="100" w:right="100"/>
            </w:pPr>
            <w:r>
              <w:rPr>
                <w:rFonts w:ascii="Calibri" w:eastAsia="Calibri" w:hAnsi="Calibri" w:cs="Calibri"/>
                <w:color w:val="111111"/>
                <w:sz w:val="18"/>
                <w:szCs w:val="18"/>
              </w:rPr>
              <w:t>RE or UPTC in 2020</w:t>
            </w:r>
          </w:p>
        </w:tc>
      </w:tr>
      <w:tr w:rsidR="002117B2" w14:paraId="0476323E" w14:textId="77777777">
        <w:trPr>
          <w:cantSplit/>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53F7CF" w14:textId="77777777" w:rsidR="002117B2" w:rsidRDefault="00616284">
            <w:pPr>
              <w:spacing w:before="40" w:after="40"/>
              <w:ind w:left="100" w:right="100"/>
            </w:pPr>
            <w:r>
              <w:rPr>
                <w:rFonts w:ascii="Calibri" w:eastAsia="Calibri" w:hAnsi="Calibri" w:cs="Calibri"/>
                <w:color w:val="111111"/>
                <w:sz w:val="18"/>
                <w:szCs w:val="18"/>
              </w:rPr>
              <w:t>2020 (1)</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5695C5" w14:textId="77777777" w:rsidR="002117B2" w:rsidRDefault="00616284">
            <w:pPr>
              <w:spacing w:before="40" w:after="40"/>
              <w:ind w:left="100" w:right="100"/>
            </w:pPr>
            <w:r>
              <w:rPr>
                <w:rFonts w:ascii="Calibri" w:eastAsia="Calibri" w:hAnsi="Calibri" w:cs="Calibri"/>
                <w:color w:val="111111"/>
                <w:sz w:val="18"/>
                <w:szCs w:val="18"/>
              </w:rPr>
              <w:t>LT-LPS-D-2020-0001</w:t>
            </w:r>
          </w:p>
        </w:tc>
        <w:tc>
          <w:tcPr>
            <w:tcW w:w="4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BC6AAD" w14:textId="77777777" w:rsidR="002117B2" w:rsidRDefault="00616284">
            <w:pPr>
              <w:spacing w:before="40" w:after="40"/>
              <w:ind w:left="100" w:right="100"/>
            </w:pPr>
            <w:r>
              <w:rPr>
                <w:rFonts w:ascii="Calibri" w:eastAsia="Calibri" w:hAnsi="Calibri" w:cs="Calibri"/>
                <w:color w:val="111111"/>
                <w:sz w:val="18"/>
                <w:szCs w:val="18"/>
              </w:rPr>
              <w:t>D Fugitive, 2015</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554CF6"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46AF0298" w14:textId="77777777">
        <w:trPr>
          <w:cantSplit/>
          <w:jc w:val="center"/>
        </w:trPr>
        <w:tc>
          <w:tcPr>
            <w:tcW w:w="142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7222D4" w14:textId="77777777"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GNFR code D_Fugitive in 2015 the TERT noted that there is a lack of transparency regarding reporting of LPS emissions. The TERT notes that for the year 2015, emissions are reported for NFR code 1B2aiv Fugitive Emissions Oil: Refining/Storage in the national inventory but not for GNFR code D_Fugitive in the LPS submission. The TERT would expect emissions to be reported for this GNFR given that emissions are reported for these source categories in the national inventory. This does not relate to an over- or under-estimate of emissions. In response to a question raised during the review, Lithuania explained that the refinery reports VOC emissions including methane to the E-PRTR, which cannot be used for LPS reporting. Lithuania informs that the refinery has clarified that the VOC emissions include methane and following Lithuania will subtract methane reported for this sector in the GHG inventory for the 2021 submission.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estimate NMVOC emissions based on the refinery’s VOC emissions reported to the E-PRTR and the methane emissions from Lithuania’s GHG emission inventory, and report the NMVOC emissions in the GNFR category D_Fugitive in the LPS reporting in the 2021 submission.</w:t>
            </w:r>
          </w:p>
        </w:tc>
      </w:tr>
      <w:tr w:rsidR="002117B2" w14:paraId="4FE6E567" w14:textId="77777777">
        <w:trPr>
          <w:cantSplit/>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3036A6B"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516659B"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4896"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744EA3C" w14:textId="77777777" w:rsidR="002117B2" w:rsidRDefault="00616284">
            <w:pPr>
              <w:spacing w:before="40" w:after="40"/>
              <w:ind w:left="100" w:right="100"/>
            </w:pPr>
            <w:r>
              <w:rPr>
                <w:rFonts w:ascii="Calibri" w:eastAsia="Calibri" w:hAnsi="Calibri" w:cs="Calibri"/>
                <w:color w:val="111111"/>
                <w:sz w:val="18"/>
                <w:szCs w:val="18"/>
              </w:rPr>
              <w:t>GNFR sector, Pollutant(s), Year(s)</w:t>
            </w:r>
          </w:p>
        </w:tc>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9DAF49D" w14:textId="77777777" w:rsidR="002117B2" w:rsidRDefault="00616284">
            <w:pPr>
              <w:spacing w:before="40" w:after="40"/>
              <w:ind w:left="100" w:right="100"/>
            </w:pPr>
            <w:r>
              <w:rPr>
                <w:rFonts w:ascii="Calibri" w:eastAsia="Calibri" w:hAnsi="Calibri" w:cs="Calibri"/>
                <w:color w:val="111111"/>
                <w:sz w:val="18"/>
                <w:szCs w:val="18"/>
              </w:rPr>
              <w:t>RE or UPTC in 2020</w:t>
            </w:r>
          </w:p>
        </w:tc>
      </w:tr>
      <w:tr w:rsidR="002117B2" w14:paraId="664A33BF" w14:textId="77777777">
        <w:trPr>
          <w:cantSplit/>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FB8D5D" w14:textId="77777777" w:rsidR="002117B2" w:rsidRDefault="00616284">
            <w:pPr>
              <w:spacing w:before="40" w:after="40"/>
              <w:ind w:left="100" w:right="100"/>
            </w:pPr>
            <w:r>
              <w:rPr>
                <w:rFonts w:ascii="Calibri" w:eastAsia="Calibri" w:hAnsi="Calibri" w:cs="Calibri"/>
                <w:color w:val="111111"/>
                <w:sz w:val="18"/>
                <w:szCs w:val="18"/>
              </w:rPr>
              <w:t>2020 (1)</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6B06AC" w14:textId="77777777" w:rsidR="002117B2" w:rsidRDefault="00616284">
            <w:pPr>
              <w:spacing w:before="40" w:after="40"/>
              <w:ind w:left="100" w:right="100"/>
            </w:pPr>
            <w:r>
              <w:rPr>
                <w:rFonts w:ascii="Calibri" w:eastAsia="Calibri" w:hAnsi="Calibri" w:cs="Calibri"/>
                <w:color w:val="111111"/>
                <w:sz w:val="18"/>
                <w:szCs w:val="18"/>
              </w:rPr>
              <w:t>LT-LPS-K-2020-0001</w:t>
            </w:r>
          </w:p>
        </w:tc>
        <w:tc>
          <w:tcPr>
            <w:tcW w:w="4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EBBECF" w14:textId="53416F6E" w:rsidR="002117B2" w:rsidRDefault="00616284">
            <w:pPr>
              <w:spacing w:before="40" w:after="40"/>
              <w:ind w:left="100" w:right="100"/>
            </w:pPr>
            <w:r>
              <w:rPr>
                <w:rFonts w:ascii="Calibri" w:eastAsia="Calibri" w:hAnsi="Calibri" w:cs="Calibri"/>
                <w:color w:val="111111"/>
                <w:sz w:val="18"/>
                <w:szCs w:val="18"/>
              </w:rPr>
              <w:t xml:space="preserve">K Agriculture Livestock,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2015</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041297"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4AF649D7" w14:textId="77777777">
        <w:trPr>
          <w:cantSplit/>
          <w:jc w:val="center"/>
        </w:trPr>
        <w:tc>
          <w:tcPr>
            <w:tcW w:w="142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B02132" w14:textId="57816DE1"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The TERT notes that that for the year 2015, </w:t>
            </w:r>
            <w:r w:rsidRPr="00616284">
              <w:rPr>
                <w:rFonts w:ascii="Calibri" w:eastAsia="Calibri" w:hAnsi="Calibri" w:cs="Calibri"/>
                <w:color w:val="000000"/>
                <w:sz w:val="18"/>
                <w:szCs w:val="18"/>
              </w:rPr>
              <w:t>NH</w:t>
            </w:r>
            <w:r w:rsidRPr="00616284">
              <w:rPr>
                <w:rFonts w:ascii="Calibri" w:eastAsia="Calibri" w:hAnsi="Calibri" w:cs="Calibri"/>
                <w:color w:val="000000"/>
                <w:sz w:val="18"/>
                <w:szCs w:val="18"/>
                <w:vertAlign w:val="subscript"/>
              </w:rPr>
              <w:t>3</w:t>
            </w:r>
            <w:r>
              <w:rPr>
                <w:rFonts w:ascii="Calibri" w:eastAsia="Calibri" w:hAnsi="Calibri" w:cs="Calibri"/>
                <w:color w:val="000000"/>
                <w:sz w:val="18"/>
                <w:szCs w:val="18"/>
              </w:rPr>
              <w:t xml:space="preserve"> emissions are not reported for the following LPS with the GNFR code K_AgriLivestock: UAB 'Baltic Premator Klaipeda' (Industry), UAB 'Šilputa' (Farm), and the TERT would generally expect emissions of this pollutant to occur at levels above the reporting threshold from LPS for this GNFR. In response to a question raised during the review, Lithuania explained that the facility mentioned above belong to GNFR code B_Industry.  </w:t>
            </w:r>
            <w:r>
              <w:rPr>
                <w:rFonts w:ascii="Calibri" w:eastAsia="Calibri" w:hAnsi="Calibri" w:cs="Calibri"/>
                <w:color w:val="000000"/>
                <w:sz w:val="18"/>
                <w:szCs w:val="18"/>
              </w:rPr>
              <w:br/>
            </w:r>
            <w:r>
              <w:rPr>
                <w:rFonts w:ascii="Calibri" w:eastAsia="Calibri" w:hAnsi="Calibri" w:cs="Calibri"/>
                <w:b/>
                <w:color w:val="000000"/>
                <w:sz w:val="18"/>
                <w:szCs w:val="18"/>
              </w:rPr>
              <w:t>The TERT recommend</w:t>
            </w:r>
            <w:r w:rsidR="00752435">
              <w:rPr>
                <w:rFonts w:ascii="Calibri" w:eastAsia="Calibri" w:hAnsi="Calibri" w:cs="Calibri"/>
                <w:b/>
                <w:color w:val="000000"/>
                <w:sz w:val="18"/>
                <w:szCs w:val="18"/>
              </w:rPr>
              <w:t>s</w:t>
            </w:r>
            <w:r>
              <w:rPr>
                <w:rFonts w:ascii="Calibri" w:eastAsia="Calibri" w:hAnsi="Calibri" w:cs="Calibri"/>
                <w:b/>
                <w:color w:val="000000"/>
                <w:sz w:val="18"/>
                <w:szCs w:val="18"/>
              </w:rPr>
              <w:t xml:space="preserve"> that Lithuania investigate the facilities are correctly allocated according to their main activity and to correct the GNFR code for the next submission if necessary.</w:t>
            </w:r>
          </w:p>
        </w:tc>
      </w:tr>
    </w:tbl>
    <w:p w14:paraId="657B8C4D" w14:textId="77777777" w:rsidR="00437A19" w:rsidRDefault="00437A19" w:rsidP="00437A19">
      <w:pPr>
        <w:pStyle w:val="StandardNum"/>
        <w:numPr>
          <w:ilvl w:val="0"/>
          <w:numId w:val="0"/>
        </w:numPr>
      </w:pPr>
    </w:p>
    <w:p w14:paraId="4FC265F3" w14:textId="77777777" w:rsidR="00224BE5" w:rsidRDefault="00224BE5" w:rsidP="00437A19">
      <w:pPr>
        <w:pStyle w:val="StandardNum"/>
        <w:numPr>
          <w:ilvl w:val="0"/>
          <w:numId w:val="0"/>
        </w:numPr>
        <w:sectPr w:rsidR="00224BE5" w:rsidSect="00C93813">
          <w:pgSz w:w="16838" w:h="11906" w:orient="landscape"/>
          <w:pgMar w:top="1440" w:right="1440" w:bottom="1440" w:left="1440" w:header="708" w:footer="708" w:gutter="0"/>
          <w:cols w:space="708"/>
          <w:docGrid w:linePitch="360"/>
        </w:sectPr>
      </w:pPr>
    </w:p>
    <w:p w14:paraId="6FCDFE68" w14:textId="0039B8E1" w:rsidR="00877761" w:rsidRPr="007B60E9" w:rsidRDefault="00877761" w:rsidP="007B60E9">
      <w:pPr>
        <w:pStyle w:val="Antrat1"/>
      </w:pPr>
      <w:bookmarkStart w:id="29" w:name="_Toc53738310"/>
      <w:r w:rsidRPr="007B60E9">
        <w:t xml:space="preserve">Findings and </w:t>
      </w:r>
      <w:r w:rsidR="006E72F8">
        <w:t>c</w:t>
      </w:r>
      <w:r w:rsidRPr="007B60E9">
        <w:t xml:space="preserve">onclusions from the </w:t>
      </w:r>
      <w:r w:rsidR="005739D7" w:rsidRPr="007B60E9">
        <w:t>t</w:t>
      </w:r>
      <w:r w:rsidRPr="007B60E9">
        <w:t xml:space="preserve">echnical </w:t>
      </w:r>
      <w:r w:rsidR="005739D7" w:rsidRPr="007B60E9">
        <w:t>e</w:t>
      </w:r>
      <w:r w:rsidRPr="007B60E9">
        <w:t xml:space="preserve">xpert </w:t>
      </w:r>
      <w:r w:rsidR="005739D7" w:rsidRPr="007B60E9">
        <w:t>r</w:t>
      </w:r>
      <w:r w:rsidRPr="007B60E9">
        <w:t xml:space="preserve">eview </w:t>
      </w:r>
      <w:r w:rsidR="005739D7" w:rsidRPr="007B60E9">
        <w:t>t</w:t>
      </w:r>
      <w:r w:rsidRPr="007B60E9">
        <w:t>eam for gridded data</w:t>
      </w:r>
      <w:bookmarkEnd w:id="29"/>
    </w:p>
    <w:p w14:paraId="4CA5C189" w14:textId="757AFE21" w:rsidR="00877761" w:rsidRDefault="00877761" w:rsidP="00877761">
      <w:pPr>
        <w:pStyle w:val="StandardNum"/>
        <w:ind w:left="0"/>
      </w:pPr>
      <w:r w:rsidRPr="00E26436">
        <w:t>T</w:t>
      </w:r>
      <w:r>
        <w:t xml:space="preserve">he technical expert review team performed an in-depth review of the gridded data submitted </w:t>
      </w:r>
      <w:r w:rsidR="005E6AC5">
        <w:t xml:space="preserve">by </w:t>
      </w:r>
      <w:r>
        <w:t xml:space="preserve">1 May 2017. </w:t>
      </w:r>
      <w:r w:rsidR="005E6AC5">
        <w:t>R</w:t>
      </w:r>
      <w:r>
        <w:t>esubmission</w:t>
      </w:r>
      <w:r w:rsidR="005739D7">
        <w:t>s</w:t>
      </w:r>
      <w:r>
        <w:t xml:space="preserve"> </w:t>
      </w:r>
      <w:r w:rsidR="005E6AC5">
        <w:t xml:space="preserve">up </w:t>
      </w:r>
      <w:r>
        <w:t>until</w:t>
      </w:r>
      <w:r w:rsidR="00E9646F">
        <w:t xml:space="preserve"> 15 May 2020 </w:t>
      </w:r>
      <w:r>
        <w:t>were taken into account for the review. A</w:t>
      </w:r>
      <w:r w:rsidRPr="009D7C35">
        <w:t xml:space="preserve">dditional information provided by </w:t>
      </w:r>
      <w:r w:rsidR="001977CE">
        <w:t xml:space="preserve">Lithuania </w:t>
      </w:r>
      <w:r w:rsidRPr="009D7C35">
        <w:t>during the review w</w:t>
      </w:r>
      <w:r w:rsidR="00D71332">
        <w:t>as</w:t>
      </w:r>
      <w:r w:rsidRPr="009D7C35">
        <w:t xml:space="preserve"> taken into account until </w:t>
      </w:r>
      <w:r w:rsidR="00E9646F">
        <w:t xml:space="preserve">15 May </w:t>
      </w:r>
      <w:r w:rsidRPr="009D7C35">
        <w:t>20</w:t>
      </w:r>
      <w:r>
        <w:t>20</w:t>
      </w:r>
      <w:r w:rsidRPr="009D7C35">
        <w:t>.</w:t>
      </w:r>
      <w:r>
        <w:t xml:space="preserve"> </w:t>
      </w:r>
    </w:p>
    <w:p w14:paraId="0DFE7206" w14:textId="77777777" w:rsidR="00877761" w:rsidRPr="009D7C35" w:rsidRDefault="00877761" w:rsidP="00877761">
      <w:pPr>
        <w:pStyle w:val="StandardNum"/>
        <w:ind w:left="0"/>
      </w:pPr>
      <w:r w:rsidRPr="00A054EA">
        <w:t xml:space="preserve">The </w:t>
      </w:r>
      <w:r>
        <w:t>technical expert review team</w:t>
      </w:r>
      <w:r w:rsidRPr="00A054EA">
        <w:t xml:space="preserve"> carried out checks to verify the </w:t>
      </w:r>
      <w:r w:rsidRPr="00FA7265">
        <w:t>transparency, accuracy, consistency, comparability and completeness</w:t>
      </w:r>
      <w:r w:rsidRPr="00A054EA">
        <w:t xml:space="preserve"> of </w:t>
      </w:r>
      <w:r w:rsidR="006B6804">
        <w:t xml:space="preserve">the most recent submission of </w:t>
      </w:r>
      <w:r w:rsidR="00D71332">
        <w:t>gridded</w:t>
      </w:r>
      <w:r>
        <w:t xml:space="preserve"> data for the year 2015.</w:t>
      </w:r>
      <w:r w:rsidR="00E67D29" w:rsidRPr="00E67D29">
        <w:t xml:space="preserve"> </w:t>
      </w:r>
      <w:r w:rsidR="00E67D29">
        <w:t>The technical expert review team used submitted gridded data for the years 2016-2017 as a cross-check only.</w:t>
      </w:r>
    </w:p>
    <w:p w14:paraId="4E5D502E" w14:textId="25464FEA" w:rsidR="00B55C75" w:rsidRDefault="00B55C75" w:rsidP="00B55C75">
      <w:pPr>
        <w:pStyle w:val="StandardNum"/>
        <w:ind w:left="0"/>
        <w:jc w:val="left"/>
      </w:pPr>
      <w:r>
        <w:fldChar w:fldCharType="begin"/>
      </w:r>
      <w:r>
        <w:instrText xml:space="preserve"> REF _Ref47104810 \h </w:instrText>
      </w:r>
      <w:r>
        <w:fldChar w:fldCharType="separate"/>
      </w:r>
      <w:r w:rsidR="00774955" w:rsidRPr="00016EA1">
        <w:t xml:space="preserve">Table </w:t>
      </w:r>
      <w:r w:rsidR="00774955">
        <w:rPr>
          <w:noProof/>
        </w:rPr>
        <w:t>9</w:t>
      </w:r>
      <w:r>
        <w:fldChar w:fldCharType="end"/>
      </w:r>
      <w:r>
        <w:t xml:space="preserve"> </w:t>
      </w:r>
      <w:r w:rsidRPr="00016EA1">
        <w:t xml:space="preserve">gives an overview of the number of recommendations and </w:t>
      </w:r>
      <w:r>
        <w:t>unquantified</w:t>
      </w:r>
      <w:r w:rsidRPr="00016EA1">
        <w:t xml:space="preserve"> potential technical corrections for </w:t>
      </w:r>
      <w:r>
        <w:t>the gridded data</w:t>
      </w:r>
      <w:r w:rsidRPr="00016EA1">
        <w:t xml:space="preserve"> that are included in </w:t>
      </w:r>
      <w:r>
        <w:t>Table 10</w:t>
      </w:r>
      <w:r w:rsidRPr="00016EA1">
        <w:t>. The table also shows the range of recommendations</w:t>
      </w:r>
      <w:r>
        <w:t xml:space="preserve"> </w:t>
      </w:r>
      <w:r w:rsidRPr="00016EA1">
        <w:t xml:space="preserve">and </w:t>
      </w:r>
      <w:r>
        <w:t>unquantified</w:t>
      </w:r>
      <w:r w:rsidRPr="00016EA1">
        <w:t xml:space="preserve"> potential technical corrections that were included in the NECD review reports for other Member States</w:t>
      </w:r>
      <w:r>
        <w:t xml:space="preserve"> and the UK. </w:t>
      </w:r>
    </w:p>
    <w:p w14:paraId="75690E11" w14:textId="5FDCFFB0" w:rsidR="00877761" w:rsidRDefault="00E9646F" w:rsidP="00877761">
      <w:pPr>
        <w:pStyle w:val="StandardNum"/>
        <w:ind w:left="0"/>
      </w:pPr>
      <w:r w:rsidRPr="00E9646F">
        <w:fldChar w:fldCharType="begin"/>
      </w:r>
      <w:r w:rsidRPr="00E9646F">
        <w:instrText xml:space="preserve"> REF _Ref47102068 \h </w:instrText>
      </w:r>
      <w:r>
        <w:instrText xml:space="preserve"> \* MERGEFORMAT </w:instrText>
      </w:r>
      <w:r w:rsidRPr="00E9646F">
        <w:fldChar w:fldCharType="separate"/>
      </w:r>
      <w:r w:rsidR="00774955" w:rsidRPr="005B3C97">
        <w:t xml:space="preserve">Table </w:t>
      </w:r>
      <w:r w:rsidR="00774955">
        <w:t>10</w:t>
      </w:r>
      <w:r w:rsidRPr="00E9646F">
        <w:fldChar w:fldCharType="end"/>
      </w:r>
      <w:r w:rsidR="00877761" w:rsidRPr="00E044CB">
        <w:rPr>
          <w:lang w:val="en-US"/>
        </w:rPr>
        <w:t xml:space="preserve"> </w:t>
      </w:r>
      <w:r w:rsidR="006B6804">
        <w:t>provides all the recommendations</w:t>
      </w:r>
      <w:r w:rsidR="00B8596C">
        <w:t xml:space="preserve"> </w:t>
      </w:r>
      <w:r w:rsidR="006B6804">
        <w:t xml:space="preserve"> from the technical expert review team related to the </w:t>
      </w:r>
      <w:r w:rsidR="007B5984">
        <w:t>gridded</w:t>
      </w:r>
      <w:r w:rsidR="006B6804">
        <w:t xml:space="preserve"> data including </w:t>
      </w:r>
      <w:r w:rsidR="003D1D47">
        <w:t xml:space="preserve">unquantified </w:t>
      </w:r>
      <w:r w:rsidR="006B6804">
        <w:t xml:space="preserve">potential technical corrections. </w:t>
      </w:r>
      <w:r w:rsidR="00417817">
        <w:t xml:space="preserve">Revised Estimates and </w:t>
      </w:r>
      <w:r w:rsidR="006B6804">
        <w:t xml:space="preserve">Technical Corrections were not </w:t>
      </w:r>
      <w:r w:rsidR="00417817">
        <w:t xml:space="preserve">applicable to </w:t>
      </w:r>
      <w:r w:rsidR="006B6804">
        <w:t xml:space="preserve">the review of the </w:t>
      </w:r>
      <w:r w:rsidR="00417817">
        <w:t>gridded</w:t>
      </w:r>
      <w:r w:rsidR="006B6804">
        <w:t xml:space="preserve"> data</w:t>
      </w:r>
      <w:r w:rsidR="00877761">
        <w:t>. The implementation of the recommendations will be followed-up in the NECD review 2021.</w:t>
      </w:r>
    </w:p>
    <w:p w14:paraId="6F8EF2A8" w14:textId="77777777" w:rsidR="00127547" w:rsidRPr="00016EA1" w:rsidRDefault="00127547" w:rsidP="00127547">
      <w:pPr>
        <w:pStyle w:val="StandardNum"/>
        <w:numPr>
          <w:ilvl w:val="0"/>
          <w:numId w:val="0"/>
        </w:numPr>
        <w:jc w:val="left"/>
      </w:pPr>
    </w:p>
    <w:p w14:paraId="59FFF9EF" w14:textId="6CB4ECDA" w:rsidR="00417817" w:rsidRDefault="00877761" w:rsidP="00417817">
      <w:pPr>
        <w:pStyle w:val="Antrat"/>
        <w:keepNext/>
        <w:keepLines/>
      </w:pPr>
      <w:bookmarkStart w:id="30" w:name="_Ref47104810"/>
      <w:bookmarkStart w:id="31" w:name="_Toc53738323"/>
      <w:r w:rsidRPr="00016EA1">
        <w:t xml:space="preserve">Table </w:t>
      </w:r>
      <w:r>
        <w:fldChar w:fldCharType="begin"/>
      </w:r>
      <w:r>
        <w:instrText>SEQ Table \* ARABIC</w:instrText>
      </w:r>
      <w:r>
        <w:fldChar w:fldCharType="separate"/>
      </w:r>
      <w:r w:rsidR="00774955">
        <w:rPr>
          <w:noProof/>
        </w:rPr>
        <w:t>9</w:t>
      </w:r>
      <w:r>
        <w:fldChar w:fldCharType="end"/>
      </w:r>
      <w:bookmarkEnd w:id="30"/>
      <w:r w:rsidR="0021477B">
        <w:rPr>
          <w:noProof/>
        </w:rPr>
        <w:t>:</w:t>
      </w:r>
      <w:r w:rsidRPr="00016EA1">
        <w:t xml:space="preserve"> Overview of </w:t>
      </w:r>
      <w:r w:rsidR="00417817">
        <w:t xml:space="preserve">the </w:t>
      </w:r>
      <w:r w:rsidRPr="00016EA1">
        <w:t xml:space="preserve">number of findings from </w:t>
      </w:r>
      <w:r w:rsidR="00417817">
        <w:t xml:space="preserve">the </w:t>
      </w:r>
      <w:r w:rsidRPr="00016EA1">
        <w:t xml:space="preserve">NECD review 2020 </w:t>
      </w:r>
      <w:r w:rsidR="00417817">
        <w:t>related to gridded data</w:t>
      </w:r>
      <w:bookmarkEnd w:id="31"/>
    </w:p>
    <w:tbl>
      <w:tblPr>
        <w:tblW w:w="9389" w:type="dxa"/>
        <w:jc w:val="center"/>
        <w:tblLayout w:type="fixed"/>
        <w:tblLook w:val="0420" w:firstRow="1" w:lastRow="0" w:firstColumn="0" w:lastColumn="0" w:noHBand="0" w:noVBand="1"/>
      </w:tblPr>
      <w:tblGrid>
        <w:gridCol w:w="4177"/>
        <w:gridCol w:w="2606"/>
        <w:gridCol w:w="2606"/>
      </w:tblGrid>
      <w:tr w:rsidR="002117B2" w14:paraId="173A107E" w14:textId="77777777">
        <w:trPr>
          <w:cantSplit/>
          <w:tblHeader/>
          <w:jc w:val="center"/>
        </w:trPr>
        <w:tc>
          <w:tcPr>
            <w:tcW w:w="4176" w:type="dxa"/>
            <w:vMerge w:val="restart"/>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4C243D09" w14:textId="77777777" w:rsidR="002117B2" w:rsidRDefault="002117B2">
            <w:pPr>
              <w:spacing w:after="0"/>
              <w:jc w:val="center"/>
            </w:pPr>
          </w:p>
        </w:tc>
        <w:tc>
          <w:tcPr>
            <w:tcW w:w="5212" w:type="dxa"/>
            <w:gridSpan w:val="2"/>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25465BBC" w14:textId="43D3E079" w:rsidR="002117B2" w:rsidRDefault="00616284">
            <w:pPr>
              <w:spacing w:after="0"/>
              <w:jc w:val="center"/>
            </w:pPr>
            <w:r>
              <w:rPr>
                <w:rFonts w:ascii="Calibri" w:eastAsia="Calibri" w:hAnsi="Calibri" w:cs="Calibri"/>
                <w:color w:val="000000"/>
                <w:sz w:val="20"/>
                <w:szCs w:val="20"/>
              </w:rPr>
              <w:t>Findings included in the 2020 Review Report by year o</w:t>
            </w:r>
            <w:r w:rsidR="006E72F8">
              <w:rPr>
                <w:rFonts w:ascii="Calibri" w:eastAsia="Calibri" w:hAnsi="Calibri" w:cs="Calibri"/>
                <w:color w:val="000000"/>
                <w:sz w:val="20"/>
                <w:szCs w:val="20"/>
              </w:rPr>
              <w:t>f</w:t>
            </w:r>
            <w:r>
              <w:rPr>
                <w:rFonts w:ascii="Calibri" w:eastAsia="Calibri" w:hAnsi="Calibri" w:cs="Calibri"/>
                <w:color w:val="000000"/>
                <w:sz w:val="20"/>
                <w:szCs w:val="20"/>
              </w:rPr>
              <w:t xml:space="preserve"> origin (see Table 10 below)</w:t>
            </w:r>
          </w:p>
        </w:tc>
      </w:tr>
      <w:tr w:rsidR="002117B2" w14:paraId="582C7C65" w14:textId="77777777">
        <w:trPr>
          <w:cantSplit/>
          <w:tblHeader/>
          <w:jc w:val="center"/>
        </w:trPr>
        <w:tc>
          <w:tcPr>
            <w:tcW w:w="4176" w:type="dxa"/>
            <w:vMerge/>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29977968" w14:textId="77777777" w:rsidR="002117B2" w:rsidRDefault="002117B2">
            <w:pPr>
              <w:spacing w:after="0"/>
              <w:jc w:val="center"/>
            </w:pPr>
          </w:p>
        </w:tc>
        <w:tc>
          <w:tcPr>
            <w:tcW w:w="2606"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33195722" w14:textId="77777777" w:rsidR="002117B2" w:rsidRDefault="00616284">
            <w:pPr>
              <w:spacing w:after="0"/>
              <w:jc w:val="center"/>
            </w:pPr>
            <w:r>
              <w:rPr>
                <w:rFonts w:ascii="Calibri" w:eastAsia="Calibri" w:hAnsi="Calibri" w:cs="Calibri"/>
                <w:color w:val="000000"/>
                <w:sz w:val="20"/>
                <w:szCs w:val="20"/>
              </w:rPr>
              <w:t>UPTC*</w:t>
            </w:r>
          </w:p>
        </w:tc>
        <w:tc>
          <w:tcPr>
            <w:tcW w:w="2606"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6E3090B6" w14:textId="77777777" w:rsidR="002117B2" w:rsidRDefault="00616284">
            <w:pPr>
              <w:spacing w:after="0"/>
              <w:jc w:val="center"/>
            </w:pPr>
            <w:r>
              <w:rPr>
                <w:rFonts w:ascii="Calibri" w:eastAsia="Calibri" w:hAnsi="Calibri" w:cs="Calibri"/>
                <w:color w:val="000000"/>
                <w:sz w:val="20"/>
                <w:szCs w:val="20"/>
              </w:rPr>
              <w:t>Recom.*</w:t>
            </w:r>
          </w:p>
        </w:tc>
      </w:tr>
      <w:tr w:rsidR="002117B2" w14:paraId="3E5F402C" w14:textId="77777777">
        <w:trPr>
          <w:cantSplit/>
          <w:jc w:val="center"/>
        </w:trPr>
        <w:tc>
          <w:tcPr>
            <w:tcW w:w="4176"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3DAD0648" w14:textId="77777777" w:rsidR="002117B2" w:rsidRDefault="00616284">
            <w:pPr>
              <w:spacing w:before="40" w:after="40"/>
              <w:ind w:left="100" w:right="100"/>
              <w:jc w:val="center"/>
            </w:pPr>
            <w:r>
              <w:rPr>
                <w:rFonts w:ascii="Calibri" w:eastAsia="Calibri" w:hAnsi="Calibri" w:cs="Calibri"/>
                <w:color w:val="111111"/>
                <w:sz w:val="20"/>
                <w:szCs w:val="20"/>
              </w:rPr>
              <w:t>Total from NECD Review 2020</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D6DEF6" w14:textId="77777777" w:rsidR="002117B2" w:rsidRDefault="00616284">
            <w:pPr>
              <w:spacing w:before="40" w:after="40"/>
              <w:ind w:left="100" w:right="100"/>
              <w:jc w:val="center"/>
            </w:pPr>
            <w:r>
              <w:rPr>
                <w:rFonts w:ascii="Calibri" w:eastAsia="Calibri" w:hAnsi="Calibri" w:cs="Calibri"/>
                <w:color w:val="111111"/>
                <w:sz w:val="20"/>
                <w:szCs w:val="20"/>
              </w:rPr>
              <w:t>0</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343EF0" w14:textId="77777777" w:rsidR="002117B2" w:rsidRDefault="00616284">
            <w:pPr>
              <w:spacing w:before="40" w:after="40"/>
              <w:ind w:left="100" w:right="100"/>
              <w:jc w:val="center"/>
            </w:pPr>
            <w:r>
              <w:rPr>
                <w:rFonts w:ascii="Calibri" w:eastAsia="Calibri" w:hAnsi="Calibri" w:cs="Calibri"/>
                <w:color w:val="111111"/>
                <w:sz w:val="20"/>
                <w:szCs w:val="20"/>
              </w:rPr>
              <w:t>1</w:t>
            </w:r>
          </w:p>
        </w:tc>
      </w:tr>
      <w:tr w:rsidR="002117B2" w14:paraId="0EED94DF" w14:textId="77777777">
        <w:trPr>
          <w:cantSplit/>
          <w:jc w:val="center"/>
        </w:trPr>
        <w:tc>
          <w:tcPr>
            <w:tcW w:w="4176" w:type="dxa"/>
            <w:tcBorders>
              <w:top w:val="single" w:sz="8" w:space="0" w:color="000000"/>
              <w:left w:val="single" w:sz="8" w:space="0" w:color="000000"/>
              <w:bottom w:val="single" w:sz="8" w:space="0" w:color="000000"/>
              <w:right w:val="single" w:sz="8" w:space="0" w:color="000000"/>
            </w:tcBorders>
            <w:shd w:val="clear" w:color="auto" w:fill="BDD6EE"/>
            <w:tcMar>
              <w:top w:w="0" w:type="dxa"/>
              <w:left w:w="0" w:type="dxa"/>
              <w:bottom w:w="0" w:type="dxa"/>
              <w:right w:w="0" w:type="dxa"/>
            </w:tcMar>
            <w:vAlign w:val="center"/>
          </w:tcPr>
          <w:p w14:paraId="672DC0A8" w14:textId="77777777" w:rsidR="002117B2" w:rsidRDefault="00616284">
            <w:pPr>
              <w:spacing w:before="40" w:after="40"/>
              <w:ind w:left="100" w:right="100"/>
              <w:jc w:val="center"/>
            </w:pPr>
            <w:r>
              <w:rPr>
                <w:rFonts w:ascii="Calibri" w:eastAsia="Calibri" w:hAnsi="Calibri" w:cs="Calibri"/>
                <w:color w:val="111111"/>
                <w:sz w:val="20"/>
                <w:szCs w:val="20"/>
              </w:rPr>
              <w:t>(Range for All Member States and the UK)</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44E3B7" w14:textId="77777777" w:rsidR="002117B2" w:rsidRDefault="00616284">
            <w:pPr>
              <w:spacing w:before="40" w:after="40"/>
              <w:ind w:left="100" w:right="100"/>
              <w:jc w:val="center"/>
            </w:pPr>
            <w:r>
              <w:rPr>
                <w:rFonts w:ascii="Calibri" w:eastAsia="Calibri" w:hAnsi="Calibri" w:cs="Calibri"/>
                <w:color w:val="111111"/>
                <w:sz w:val="20"/>
                <w:szCs w:val="20"/>
              </w:rPr>
              <w:t>(0-8)</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E0D8E5" w14:textId="77777777" w:rsidR="002117B2" w:rsidRDefault="00616284">
            <w:pPr>
              <w:spacing w:before="40" w:after="40"/>
              <w:ind w:left="100" w:right="100"/>
              <w:jc w:val="center"/>
            </w:pPr>
            <w:r>
              <w:rPr>
                <w:rFonts w:ascii="Calibri" w:eastAsia="Calibri" w:hAnsi="Calibri" w:cs="Calibri"/>
                <w:color w:val="111111"/>
                <w:sz w:val="20"/>
                <w:szCs w:val="20"/>
              </w:rPr>
              <w:t>(0-6)</w:t>
            </w:r>
          </w:p>
        </w:tc>
      </w:tr>
    </w:tbl>
    <w:p w14:paraId="4B74F405" w14:textId="77777777" w:rsidR="00417817" w:rsidRPr="00A155E0" w:rsidRDefault="00417817" w:rsidP="00417817">
      <w:r w:rsidRPr="00101820">
        <w:rPr>
          <w:sz w:val="18"/>
          <w:szCs w:val="18"/>
        </w:rPr>
        <w:t xml:space="preserve">* PTC = </w:t>
      </w:r>
      <w:r w:rsidR="006A556C">
        <w:rPr>
          <w:sz w:val="18"/>
          <w:szCs w:val="18"/>
        </w:rPr>
        <w:t xml:space="preserve">Unquantified </w:t>
      </w:r>
      <w:r w:rsidRPr="00101820">
        <w:rPr>
          <w:sz w:val="18"/>
          <w:szCs w:val="18"/>
        </w:rPr>
        <w:t>Potential Technical Correction, Recom. = Recommendation</w:t>
      </w:r>
    </w:p>
    <w:p w14:paraId="60C248D1" w14:textId="77777777" w:rsidR="00417817" w:rsidRDefault="00417817" w:rsidP="00417817"/>
    <w:p w14:paraId="18707470" w14:textId="77777777" w:rsidR="00417817" w:rsidRPr="00417817" w:rsidRDefault="00417817" w:rsidP="00417817"/>
    <w:p w14:paraId="2D2F9F7E" w14:textId="77777777" w:rsidR="00D71332" w:rsidRDefault="00D71332" w:rsidP="00BC66E0">
      <w:pPr>
        <w:sectPr w:rsidR="00D71332" w:rsidSect="00C93813">
          <w:pgSz w:w="11906" w:h="16838"/>
          <w:pgMar w:top="1440" w:right="1440" w:bottom="1440" w:left="1440" w:header="708" w:footer="708" w:gutter="0"/>
          <w:cols w:space="708"/>
          <w:docGrid w:linePitch="360"/>
        </w:sectPr>
      </w:pPr>
    </w:p>
    <w:p w14:paraId="17065E19" w14:textId="1B413F8B" w:rsidR="00D71332" w:rsidRPr="005B3C97" w:rsidRDefault="00D71332" w:rsidP="005B3C97">
      <w:pPr>
        <w:pStyle w:val="Antrat"/>
      </w:pPr>
      <w:bookmarkStart w:id="32" w:name="_Ref47102068"/>
      <w:bookmarkStart w:id="33" w:name="_Toc53738324"/>
      <w:r w:rsidRPr="005B3C97">
        <w:t xml:space="preserve">Table </w:t>
      </w:r>
      <w:r>
        <w:fldChar w:fldCharType="begin"/>
      </w:r>
      <w:r>
        <w:instrText>SEQ Table \* ARABIC</w:instrText>
      </w:r>
      <w:r>
        <w:fldChar w:fldCharType="separate"/>
      </w:r>
      <w:r w:rsidR="00774955">
        <w:rPr>
          <w:noProof/>
        </w:rPr>
        <w:t>10</w:t>
      </w:r>
      <w:r>
        <w:fldChar w:fldCharType="end"/>
      </w:r>
      <w:bookmarkEnd w:id="32"/>
      <w:r w:rsidRPr="005B3C97">
        <w:t xml:space="preserve">: </w:t>
      </w:r>
      <w:r w:rsidR="00417817" w:rsidRPr="005B3C97">
        <w:t>All r</w:t>
      </w:r>
      <w:r w:rsidRPr="005B3C97">
        <w:t xml:space="preserve">ecommendations </w:t>
      </w:r>
      <w:r w:rsidR="001977CE" w:rsidRPr="001977CE">
        <w:t xml:space="preserve">and unquantified potential technical corrections </w:t>
      </w:r>
      <w:r w:rsidR="00417817" w:rsidRPr="005B3C97">
        <w:t xml:space="preserve">made during the NECD Review 2020 for </w:t>
      </w:r>
      <w:r w:rsidRPr="005B3C97">
        <w:t>gridded data</w:t>
      </w:r>
      <w:bookmarkEnd w:id="33"/>
    </w:p>
    <w:tbl>
      <w:tblPr>
        <w:tblW w:w="14256" w:type="dxa"/>
        <w:jc w:val="center"/>
        <w:tblLayout w:type="fixed"/>
        <w:tblLook w:val="0420" w:firstRow="1" w:lastRow="0" w:firstColumn="0" w:lastColumn="0" w:noHBand="0" w:noVBand="1"/>
      </w:tblPr>
      <w:tblGrid>
        <w:gridCol w:w="3600"/>
        <w:gridCol w:w="2880"/>
        <w:gridCol w:w="4896"/>
        <w:gridCol w:w="2880"/>
      </w:tblGrid>
      <w:tr w:rsidR="002117B2" w14:paraId="21B30B09" w14:textId="77777777">
        <w:trPr>
          <w:cantSplit/>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6A5496D5" w14:textId="77777777" w:rsidR="002117B2" w:rsidRDefault="00616284">
            <w:pPr>
              <w:spacing w:before="40" w:after="40"/>
              <w:ind w:left="100" w:right="100"/>
            </w:pPr>
            <w:r>
              <w:rPr>
                <w:rFonts w:ascii="Calibri" w:eastAsia="Calibri" w:hAnsi="Calibri" w:cs="Calibri"/>
                <w:color w:val="111111"/>
                <w:sz w:val="18"/>
                <w:szCs w:val="18"/>
              </w:rPr>
              <w:t>Review year of initial recommendation (number of years it has been recommended)</w:t>
            </w:r>
          </w:p>
        </w:tc>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4A2B5A98" w14:textId="77777777" w:rsidR="002117B2" w:rsidRDefault="00616284">
            <w:pPr>
              <w:spacing w:before="40" w:after="40"/>
              <w:ind w:left="100" w:right="100"/>
            </w:pPr>
            <w:r>
              <w:rPr>
                <w:rFonts w:ascii="Calibri" w:eastAsia="Calibri" w:hAnsi="Calibri" w:cs="Calibri"/>
                <w:color w:val="111111"/>
                <w:sz w:val="18"/>
                <w:szCs w:val="18"/>
              </w:rPr>
              <w:t>Observation</w:t>
            </w:r>
          </w:p>
        </w:tc>
        <w:tc>
          <w:tcPr>
            <w:tcW w:w="4896"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7C3F64AA" w14:textId="77777777" w:rsidR="002117B2" w:rsidRDefault="00616284">
            <w:pPr>
              <w:spacing w:before="40" w:after="40"/>
              <w:ind w:left="100" w:right="100"/>
            </w:pPr>
            <w:r>
              <w:rPr>
                <w:rFonts w:ascii="Calibri" w:eastAsia="Calibri" w:hAnsi="Calibri" w:cs="Calibri"/>
                <w:color w:val="111111"/>
                <w:sz w:val="18"/>
                <w:szCs w:val="18"/>
              </w:rPr>
              <w:t>GNFR sector, Pollutant(s), Year(s)</w:t>
            </w:r>
          </w:p>
        </w:tc>
        <w:tc>
          <w:tcPr>
            <w:tcW w:w="288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vAlign w:val="center"/>
          </w:tcPr>
          <w:p w14:paraId="2705B9BB" w14:textId="77777777" w:rsidR="002117B2" w:rsidRDefault="00616284">
            <w:pPr>
              <w:spacing w:before="40" w:after="40"/>
              <w:ind w:left="100" w:right="100"/>
            </w:pPr>
            <w:r>
              <w:rPr>
                <w:rFonts w:ascii="Calibri" w:eastAsia="Calibri" w:hAnsi="Calibri" w:cs="Calibri"/>
                <w:color w:val="111111"/>
                <w:sz w:val="18"/>
                <w:szCs w:val="18"/>
              </w:rPr>
              <w:t>UPTC in 2020</w:t>
            </w:r>
          </w:p>
        </w:tc>
      </w:tr>
      <w:tr w:rsidR="002117B2" w14:paraId="2254085D" w14:textId="77777777">
        <w:trPr>
          <w:cantSplit/>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BB1269" w14:textId="77777777" w:rsidR="002117B2" w:rsidRDefault="00616284">
            <w:pPr>
              <w:spacing w:before="40" w:after="40"/>
              <w:ind w:left="100" w:right="100"/>
            </w:pPr>
            <w:r>
              <w:rPr>
                <w:rFonts w:ascii="Calibri" w:eastAsia="Calibri" w:hAnsi="Calibri" w:cs="Calibri"/>
                <w:color w:val="111111"/>
                <w:sz w:val="18"/>
                <w:szCs w:val="18"/>
              </w:rPr>
              <w:t>2020 (1)</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BE448C" w14:textId="77777777" w:rsidR="002117B2" w:rsidRDefault="00616284">
            <w:pPr>
              <w:spacing w:before="40" w:after="40"/>
              <w:ind w:left="100" w:right="100"/>
            </w:pPr>
            <w:r>
              <w:rPr>
                <w:rFonts w:ascii="Calibri" w:eastAsia="Calibri" w:hAnsi="Calibri" w:cs="Calibri"/>
                <w:color w:val="111111"/>
                <w:sz w:val="18"/>
                <w:szCs w:val="18"/>
              </w:rPr>
              <w:t>LT-GRID-GEN-2020-0001</w:t>
            </w:r>
          </w:p>
        </w:tc>
        <w:tc>
          <w:tcPr>
            <w:tcW w:w="4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58992F" w14:textId="7C379E8E" w:rsidR="002117B2" w:rsidRDefault="00616284">
            <w:pPr>
              <w:spacing w:before="40" w:after="40"/>
              <w:ind w:left="100" w:right="100"/>
            </w:pPr>
            <w:r>
              <w:rPr>
                <w:rFonts w:ascii="Calibri" w:eastAsia="Calibri" w:hAnsi="Calibri" w:cs="Calibri"/>
                <w:color w:val="111111"/>
                <w:sz w:val="18"/>
                <w:szCs w:val="18"/>
              </w:rPr>
              <w:t xml:space="preserve">General, </w:t>
            </w: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2</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r>
              <w:rPr>
                <w:rFonts w:ascii="Calibri" w:eastAsia="Calibri" w:hAnsi="Calibri" w:cs="Calibri"/>
                <w:color w:val="111111"/>
                <w:sz w:val="18"/>
                <w:szCs w:val="18"/>
              </w:rPr>
              <w:t xml:space="preserve">, </w:t>
            </w: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r>
              <w:rPr>
                <w:rFonts w:ascii="Calibri" w:eastAsia="Calibri" w:hAnsi="Calibri" w:cs="Calibri"/>
                <w:color w:val="111111"/>
                <w:sz w:val="18"/>
                <w:szCs w:val="18"/>
              </w:rPr>
              <w:t xml:space="preserve">, NMVOC,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2015</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F9703F" w14:textId="77777777" w:rsidR="002117B2" w:rsidRDefault="00616284">
            <w:pPr>
              <w:spacing w:before="40" w:after="40"/>
              <w:ind w:left="100" w:right="100"/>
            </w:pPr>
            <w:r>
              <w:rPr>
                <w:rFonts w:ascii="Calibri" w:eastAsia="Calibri" w:hAnsi="Calibri" w:cs="Calibri"/>
                <w:color w:val="111111"/>
                <w:sz w:val="18"/>
                <w:szCs w:val="18"/>
              </w:rPr>
              <w:t>No</w:t>
            </w:r>
          </w:p>
        </w:tc>
      </w:tr>
      <w:tr w:rsidR="002117B2" w14:paraId="62B50303" w14:textId="77777777">
        <w:trPr>
          <w:cantSplit/>
          <w:jc w:val="center"/>
        </w:trPr>
        <w:tc>
          <w:tcPr>
            <w:tcW w:w="142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D1ABB5" w14:textId="77777777" w:rsidR="002117B2" w:rsidRDefault="00616284">
            <w:pPr>
              <w:spacing w:before="40" w:after="40"/>
              <w:ind w:left="100" w:right="100"/>
            </w:pPr>
            <w:r>
              <w:rPr>
                <w:rFonts w:ascii="Calibri" w:eastAsia="Calibri" w:hAnsi="Calibri" w:cs="Calibri"/>
                <w:b/>
                <w:color w:val="000000"/>
                <w:sz w:val="18"/>
                <w:szCs w:val="18"/>
              </w:rPr>
              <w:t xml:space="preserve">Recommendation  </w:t>
            </w:r>
            <w:r>
              <w:rPr>
                <w:rFonts w:ascii="Calibri" w:eastAsia="Calibri" w:hAnsi="Calibri" w:cs="Calibri"/>
                <w:b/>
                <w:color w:val="000000"/>
                <w:sz w:val="18"/>
                <w:szCs w:val="18"/>
              </w:rPr>
              <w:br/>
            </w:r>
            <w:r>
              <w:rPr>
                <w:rFonts w:ascii="Calibri" w:eastAsia="Calibri" w:hAnsi="Calibri" w:cs="Calibri"/>
                <w:color w:val="000000"/>
                <w:sz w:val="18"/>
                <w:szCs w:val="18"/>
              </w:rPr>
              <w:t xml:space="preserve">For 2015 the TERT noted that there is a lack of transparency regarding gridded emissions and also there appears to be a lack of appropriate distributions for GNFR sectors. This does not relate to an over- or under-estimate of emissions but does relate to an inaccurate representation of the distribution of emissions. In response to a question raised during the review, Lithuania explained that some methods used in the gridding of emissions were inappropriate and that improvements will be made in the next submission.  </w:t>
            </w:r>
            <w:r>
              <w:rPr>
                <w:rFonts w:ascii="Calibri" w:eastAsia="Calibri" w:hAnsi="Calibri" w:cs="Calibri"/>
                <w:color w:val="000000"/>
                <w:sz w:val="18"/>
                <w:szCs w:val="18"/>
              </w:rPr>
              <w:br/>
            </w:r>
            <w:r>
              <w:rPr>
                <w:rFonts w:ascii="Calibri" w:eastAsia="Calibri" w:hAnsi="Calibri" w:cs="Calibri"/>
                <w:b/>
                <w:color w:val="000000"/>
                <w:sz w:val="18"/>
                <w:szCs w:val="18"/>
              </w:rPr>
              <w:t>The TERT recommends that Lithuania makes improvements to the gridding methods for the 2021 submission with distributions that reflect activities in all relevant GNFR sectors for all pollutants and also provides a chapter in the IIR outlining the methods used to generate all of the gridded estimates.</w:t>
            </w:r>
          </w:p>
        </w:tc>
      </w:tr>
    </w:tbl>
    <w:p w14:paraId="55417623" w14:textId="77777777" w:rsidR="00D71332" w:rsidRPr="005D7735" w:rsidRDefault="00D71332" w:rsidP="00D71332"/>
    <w:p w14:paraId="4B5DF3B5" w14:textId="77777777" w:rsidR="00D71332" w:rsidRDefault="00D71332" w:rsidP="00BC66E0">
      <w:pPr>
        <w:sectPr w:rsidR="00D71332" w:rsidSect="00C93813">
          <w:pgSz w:w="16838" w:h="11906" w:orient="landscape"/>
          <w:pgMar w:top="1440" w:right="1440" w:bottom="1440" w:left="1440" w:header="708" w:footer="708" w:gutter="0"/>
          <w:cols w:space="708"/>
          <w:docGrid w:linePitch="360"/>
        </w:sectPr>
      </w:pPr>
    </w:p>
    <w:p w14:paraId="6E5B3C2B" w14:textId="77777777" w:rsidR="006A7DFE" w:rsidRPr="007B60E9" w:rsidRDefault="006A7DFE" w:rsidP="007B60E9">
      <w:pPr>
        <w:pStyle w:val="Antrat1"/>
      </w:pPr>
      <w:bookmarkStart w:id="34" w:name="_Toc34829781"/>
      <w:bookmarkStart w:id="35" w:name="_Toc53738311"/>
      <w:bookmarkEnd w:id="34"/>
      <w:r w:rsidRPr="007B60E9">
        <w:t>Effect of revised estimates, technical corrections and adjustments recommended to be approved on the national total and national total for compliance</w:t>
      </w:r>
      <w:bookmarkEnd w:id="35"/>
    </w:p>
    <w:p w14:paraId="3D204085" w14:textId="77777777" w:rsidR="006A7DFE" w:rsidRPr="00BC1D24" w:rsidRDefault="006A7DFE" w:rsidP="006A7DFE">
      <w:pPr>
        <w:pStyle w:val="StandardNum"/>
        <w:ind w:left="0"/>
      </w:pPr>
      <w:r>
        <w:t>The table</w:t>
      </w:r>
      <w:r w:rsidR="00670953">
        <w:t>s below show</w:t>
      </w:r>
      <w:r>
        <w:t xml:space="preserve"> </w:t>
      </w:r>
      <w:r w:rsidR="001710EC">
        <w:t xml:space="preserve">the </w:t>
      </w:r>
      <w:r w:rsidR="001710EC" w:rsidRPr="001710EC">
        <w:t>direct changes in response to the NECD Review 20</w:t>
      </w:r>
      <w:r w:rsidR="00863E76">
        <w:t>20</w:t>
      </w:r>
      <w:r w:rsidR="001710EC">
        <w:t xml:space="preserve">. These changes include all revised estimates, technical corrections and adjustment assessments. The tables also show the impact that these changes have on the National total (row 141, Annex I) and </w:t>
      </w:r>
      <w:r w:rsidR="00317C92">
        <w:t xml:space="preserve">National </w:t>
      </w:r>
      <w:r w:rsidR="001710EC">
        <w:t xml:space="preserve">Total </w:t>
      </w:r>
      <w:r w:rsidR="00317C92">
        <w:t xml:space="preserve">for Compliance </w:t>
      </w:r>
      <w:r w:rsidR="001710EC">
        <w:t>(row 1</w:t>
      </w:r>
      <w:r w:rsidR="004830EA">
        <w:t>5</w:t>
      </w:r>
      <w:r w:rsidR="001710EC">
        <w:t>4, Annex I)</w:t>
      </w:r>
      <w:r>
        <w:t xml:space="preserve">. </w:t>
      </w:r>
      <w:r w:rsidR="005E6AC5">
        <w:t>The</w:t>
      </w:r>
      <w:r w:rsidR="000736DE">
        <w:t xml:space="preserve"> National</w:t>
      </w:r>
      <w:r w:rsidR="005E6AC5">
        <w:t xml:space="preserve"> Emission Ceilings as defined by </w:t>
      </w:r>
      <w:r w:rsidR="00EF0972">
        <w:t>Directive 2001/81/EC</w:t>
      </w:r>
      <w:r w:rsidR="00EF0972">
        <w:rPr>
          <w:rStyle w:val="Puslapioinaosnuoroda"/>
        </w:rPr>
        <w:t xml:space="preserve"> </w:t>
      </w:r>
      <w:r w:rsidR="007C0A5F">
        <w:rPr>
          <w:rStyle w:val="Puslapioinaosnuoroda"/>
        </w:rPr>
        <w:footnoteReference w:id="6"/>
      </w:r>
      <w:r w:rsidR="005E6AC5">
        <w:t xml:space="preserve"> are provided in the tables for reference.</w:t>
      </w:r>
    </w:p>
    <w:p w14:paraId="195814BF" w14:textId="30992AA4" w:rsidR="0021477B" w:rsidRDefault="0021477B" w:rsidP="0021477B">
      <w:pPr>
        <w:pStyle w:val="Antrat"/>
        <w:keepNext/>
        <w:keepLines/>
      </w:pPr>
      <w:bookmarkStart w:id="36" w:name="_Ref48140111"/>
      <w:bookmarkStart w:id="37" w:name="_Toc53738325"/>
      <w:r>
        <w:t xml:space="preserve">Table </w:t>
      </w:r>
      <w:r>
        <w:fldChar w:fldCharType="begin"/>
      </w:r>
      <w:r>
        <w:instrText>SEQ Table \* ARABIC</w:instrText>
      </w:r>
      <w:r>
        <w:fldChar w:fldCharType="separate"/>
      </w:r>
      <w:r w:rsidR="00774955">
        <w:rPr>
          <w:noProof/>
        </w:rPr>
        <w:t>11</w:t>
      </w:r>
      <w:r>
        <w:fldChar w:fldCharType="end"/>
      </w:r>
      <w:bookmarkEnd w:id="36"/>
      <w:r>
        <w:t>:</w:t>
      </w:r>
      <w:r w:rsidRPr="0021477B">
        <w:t xml:space="preserve"> </w:t>
      </w:r>
      <w:r>
        <w:t>National totals as reported</w:t>
      </w:r>
      <w:r w:rsidR="004D4E20">
        <w:t xml:space="preserve"> and</w:t>
      </w:r>
      <w:r w:rsidR="001849A5">
        <w:t xml:space="preserve"> </w:t>
      </w:r>
      <w:r>
        <w:t>national totals including revised estimates (RE)</w:t>
      </w:r>
      <w:r w:rsidR="0013725B">
        <w:t xml:space="preserve"> and</w:t>
      </w:r>
      <w:r>
        <w:t xml:space="preserve"> technical corrections (TC) </w:t>
      </w:r>
      <w:r w:rsidRPr="00BE5EC5">
        <w:t xml:space="preserve">for </w:t>
      </w:r>
      <w:r w:rsidR="00616284" w:rsidRPr="00616284">
        <w:t>NO</w:t>
      </w:r>
      <w:r w:rsidR="00616284" w:rsidRPr="00616284">
        <w:rPr>
          <w:vertAlign w:val="subscript"/>
        </w:rPr>
        <w:t>X</w:t>
      </w:r>
      <w:r w:rsidRPr="00BE5EC5">
        <w:t xml:space="preserve">, NMVOC, </w:t>
      </w:r>
      <w:r w:rsidR="00616284" w:rsidRPr="00616284">
        <w:t>SO</w:t>
      </w:r>
      <w:r w:rsidR="00616284" w:rsidRPr="00616284">
        <w:rPr>
          <w:vertAlign w:val="subscript"/>
        </w:rPr>
        <w:t>2</w:t>
      </w:r>
      <w:r w:rsidRPr="00BE5EC5">
        <w:t xml:space="preserve">, </w:t>
      </w:r>
      <w:r w:rsidR="00616284" w:rsidRPr="00616284">
        <w:t>NH</w:t>
      </w:r>
      <w:r w:rsidR="00616284" w:rsidRPr="00616284">
        <w:rPr>
          <w:vertAlign w:val="subscript"/>
        </w:rPr>
        <w:t>3</w:t>
      </w:r>
      <w:r w:rsidRPr="00BE5EC5">
        <w:t xml:space="preserve">, </w:t>
      </w:r>
      <w:r w:rsidR="00616284" w:rsidRPr="00616284">
        <w:t>PM</w:t>
      </w:r>
      <w:r w:rsidR="00616284" w:rsidRPr="00616284">
        <w:rPr>
          <w:vertAlign w:val="subscript"/>
        </w:rPr>
        <w:t>2.5</w:t>
      </w:r>
      <w:r w:rsidRPr="0047290D">
        <w:rPr>
          <w:vertAlign w:val="subscript"/>
        </w:rPr>
        <w:t xml:space="preserve"> </w:t>
      </w:r>
      <w:r w:rsidR="001849A5" w:rsidRPr="001849A5">
        <w:t xml:space="preserve"> and</w:t>
      </w:r>
      <w:r w:rsidR="001849A5">
        <w:t xml:space="preserve"> </w:t>
      </w:r>
      <w:r w:rsidR="00EF0972">
        <w:t>N</w:t>
      </w:r>
      <w:r w:rsidR="001849A5">
        <w:t xml:space="preserve">ational </w:t>
      </w:r>
      <w:r w:rsidR="00EF0972">
        <w:t>E</w:t>
      </w:r>
      <w:r w:rsidR="001849A5">
        <w:t xml:space="preserve">mission </w:t>
      </w:r>
      <w:r w:rsidR="00EF0972">
        <w:t>C</w:t>
      </w:r>
      <w:r w:rsidR="001849A5">
        <w:t>eilings</w:t>
      </w:r>
      <w:r w:rsidRPr="0047290D">
        <w:rPr>
          <w:vertAlign w:val="superscript"/>
        </w:rPr>
        <w:footnoteReference w:id="7"/>
      </w:r>
      <w:r>
        <w:t xml:space="preserve"> </w:t>
      </w:r>
      <w:r w:rsidR="0013725B">
        <w:rPr>
          <w:rStyle w:val="Puslapioinaosnuoroda"/>
        </w:rPr>
        <w:footnoteReference w:id="8"/>
      </w:r>
      <w:bookmarkEnd w:id="37"/>
    </w:p>
    <w:tbl>
      <w:tblPr>
        <w:tblW w:w="9360" w:type="dxa"/>
        <w:jc w:val="center"/>
        <w:tblLayout w:type="fixed"/>
        <w:tblLook w:val="0420" w:firstRow="1" w:lastRow="0" w:firstColumn="0" w:lastColumn="0" w:noHBand="0" w:noVBand="1"/>
      </w:tblPr>
      <w:tblGrid>
        <w:gridCol w:w="2160"/>
        <w:gridCol w:w="2016"/>
        <w:gridCol w:w="864"/>
        <w:gridCol w:w="864"/>
        <w:gridCol w:w="864"/>
        <w:gridCol w:w="864"/>
        <w:gridCol w:w="864"/>
        <w:gridCol w:w="864"/>
      </w:tblGrid>
      <w:tr w:rsidR="002117B2" w14:paraId="6F086558" w14:textId="77777777" w:rsidTr="00A16D06">
        <w:trPr>
          <w:cantSplit/>
          <w:tblHeader/>
          <w:jc w:val="center"/>
        </w:trPr>
        <w:tc>
          <w:tcPr>
            <w:tcW w:w="2160" w:type="dxa"/>
            <w:vMerge w:val="restart"/>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6320A279" w14:textId="77777777" w:rsidR="002117B2" w:rsidRDefault="00616284">
            <w:pPr>
              <w:spacing w:before="40" w:after="40"/>
              <w:ind w:left="100" w:right="100"/>
            </w:pPr>
            <w:r>
              <w:rPr>
                <w:rFonts w:ascii="Calibri" w:eastAsia="Calibri" w:hAnsi="Calibri" w:cs="Calibri"/>
                <w:b/>
                <w:color w:val="FFFFFF"/>
                <w:sz w:val="18"/>
                <w:szCs w:val="18"/>
              </w:rPr>
              <w:t>Description</w:t>
            </w:r>
          </w:p>
        </w:tc>
        <w:tc>
          <w:tcPr>
            <w:tcW w:w="2016" w:type="dxa"/>
            <w:vMerge w:val="restart"/>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7605F9E9" w14:textId="77777777" w:rsidR="002117B2" w:rsidRDefault="00616284">
            <w:pPr>
              <w:spacing w:before="40" w:after="40"/>
              <w:ind w:left="100" w:right="100"/>
            </w:pPr>
            <w:r>
              <w:rPr>
                <w:rFonts w:ascii="Calibri" w:eastAsia="Calibri" w:hAnsi="Calibri" w:cs="Calibri"/>
                <w:b/>
                <w:color w:val="FFFFFF"/>
                <w:sz w:val="18"/>
                <w:szCs w:val="18"/>
              </w:rPr>
              <w:t>Reference</w:t>
            </w:r>
          </w:p>
        </w:tc>
        <w:tc>
          <w:tcPr>
            <w:tcW w:w="5184" w:type="dxa"/>
            <w:gridSpan w:val="6"/>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5E514672" w14:textId="77777777" w:rsidR="002117B2" w:rsidRDefault="00616284">
            <w:pPr>
              <w:spacing w:before="40" w:after="40"/>
              <w:ind w:left="100" w:right="100"/>
              <w:jc w:val="center"/>
            </w:pPr>
            <w:r>
              <w:rPr>
                <w:rFonts w:ascii="Calibri" w:eastAsia="Calibri" w:hAnsi="Calibri" w:cs="Calibri"/>
                <w:b/>
                <w:color w:val="FFFFFF"/>
                <w:sz w:val="18"/>
                <w:szCs w:val="18"/>
              </w:rPr>
              <w:t>Pollutant estimates (kt)</w:t>
            </w:r>
          </w:p>
        </w:tc>
      </w:tr>
      <w:tr w:rsidR="002117B2" w14:paraId="7EF7129A" w14:textId="77777777">
        <w:trPr>
          <w:cantSplit/>
          <w:jc w:val="center"/>
        </w:trPr>
        <w:tc>
          <w:tcPr>
            <w:tcW w:w="2160" w:type="dxa"/>
            <w:vMerge/>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3024CA52" w14:textId="77777777" w:rsidR="002117B2" w:rsidRDefault="002117B2">
            <w:pPr>
              <w:spacing w:before="40" w:after="40"/>
              <w:ind w:left="100" w:right="100"/>
            </w:pPr>
          </w:p>
        </w:tc>
        <w:tc>
          <w:tcPr>
            <w:tcW w:w="2016" w:type="dxa"/>
            <w:vMerge/>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0E726E41" w14:textId="77777777" w:rsidR="002117B2" w:rsidRDefault="002117B2">
            <w:pPr>
              <w:spacing w:before="40" w:after="40"/>
              <w:ind w:left="100" w:right="100"/>
            </w:pPr>
          </w:p>
        </w:tc>
        <w:tc>
          <w:tcPr>
            <w:tcW w:w="864" w:type="dxa"/>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56FC6B82" w14:textId="77777777" w:rsidR="002117B2" w:rsidRDefault="00616284">
            <w:pPr>
              <w:spacing w:before="40" w:after="40"/>
              <w:ind w:left="100" w:right="100"/>
              <w:jc w:val="right"/>
            </w:pPr>
            <w:r>
              <w:rPr>
                <w:rFonts w:ascii="Calibri" w:eastAsia="Calibri" w:hAnsi="Calibri" w:cs="Calibri"/>
                <w:b/>
                <w:color w:val="FFFFFF"/>
                <w:sz w:val="18"/>
                <w:szCs w:val="18"/>
              </w:rPr>
              <w:t>2005</w:t>
            </w:r>
          </w:p>
        </w:tc>
        <w:tc>
          <w:tcPr>
            <w:tcW w:w="864" w:type="dxa"/>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2CB54766" w14:textId="77777777" w:rsidR="002117B2" w:rsidRDefault="00616284">
            <w:pPr>
              <w:spacing w:before="40" w:after="40"/>
              <w:ind w:left="100" w:right="100"/>
              <w:jc w:val="right"/>
            </w:pPr>
            <w:r>
              <w:rPr>
                <w:rFonts w:ascii="Calibri" w:eastAsia="Calibri" w:hAnsi="Calibri" w:cs="Calibri"/>
                <w:b/>
                <w:color w:val="FFFFFF"/>
                <w:sz w:val="18"/>
                <w:szCs w:val="18"/>
              </w:rPr>
              <w:t>2010</w:t>
            </w:r>
          </w:p>
        </w:tc>
        <w:tc>
          <w:tcPr>
            <w:tcW w:w="864" w:type="dxa"/>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4180E07B" w14:textId="77777777" w:rsidR="002117B2" w:rsidRDefault="00616284">
            <w:pPr>
              <w:spacing w:before="40" w:after="40"/>
              <w:ind w:left="100" w:right="100"/>
              <w:jc w:val="right"/>
            </w:pPr>
            <w:r>
              <w:rPr>
                <w:rFonts w:ascii="Calibri" w:eastAsia="Calibri" w:hAnsi="Calibri" w:cs="Calibri"/>
                <w:b/>
                <w:color w:val="FFFFFF"/>
                <w:sz w:val="18"/>
                <w:szCs w:val="18"/>
              </w:rPr>
              <w:t>2015</w:t>
            </w:r>
          </w:p>
        </w:tc>
        <w:tc>
          <w:tcPr>
            <w:tcW w:w="864" w:type="dxa"/>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0830B304" w14:textId="77777777" w:rsidR="002117B2" w:rsidRDefault="00616284">
            <w:pPr>
              <w:spacing w:before="40" w:after="40"/>
              <w:ind w:left="100" w:right="100"/>
              <w:jc w:val="right"/>
            </w:pPr>
            <w:r>
              <w:rPr>
                <w:rFonts w:ascii="Calibri" w:eastAsia="Calibri" w:hAnsi="Calibri" w:cs="Calibri"/>
                <w:b/>
                <w:color w:val="FFFFFF"/>
                <w:sz w:val="18"/>
                <w:szCs w:val="18"/>
              </w:rPr>
              <w:t>2016</w:t>
            </w:r>
          </w:p>
        </w:tc>
        <w:tc>
          <w:tcPr>
            <w:tcW w:w="864" w:type="dxa"/>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4F505C3F" w14:textId="77777777" w:rsidR="002117B2" w:rsidRDefault="00616284">
            <w:pPr>
              <w:spacing w:before="40" w:after="40"/>
              <w:ind w:left="100" w:right="100"/>
              <w:jc w:val="right"/>
            </w:pPr>
            <w:r>
              <w:rPr>
                <w:rFonts w:ascii="Calibri" w:eastAsia="Calibri" w:hAnsi="Calibri" w:cs="Calibri"/>
                <w:b/>
                <w:color w:val="FFFFFF"/>
                <w:sz w:val="18"/>
                <w:szCs w:val="18"/>
              </w:rPr>
              <w:t>2017</w:t>
            </w:r>
          </w:p>
        </w:tc>
        <w:tc>
          <w:tcPr>
            <w:tcW w:w="864" w:type="dxa"/>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58EFB4C7" w14:textId="77777777" w:rsidR="002117B2" w:rsidRDefault="00616284">
            <w:pPr>
              <w:spacing w:before="40" w:after="40"/>
              <w:ind w:left="100" w:right="100"/>
              <w:jc w:val="right"/>
            </w:pPr>
            <w:r>
              <w:rPr>
                <w:rFonts w:ascii="Calibri" w:eastAsia="Calibri" w:hAnsi="Calibri" w:cs="Calibri"/>
                <w:b/>
                <w:color w:val="FFFFFF"/>
                <w:sz w:val="18"/>
                <w:szCs w:val="18"/>
              </w:rPr>
              <w:t>2018</w:t>
            </w:r>
          </w:p>
        </w:tc>
      </w:tr>
      <w:tr w:rsidR="002117B2" w14:paraId="572AF809"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679195C1" w14:textId="1ABF1592" w:rsidR="002117B2" w:rsidRDefault="00616284">
            <w:pPr>
              <w:spacing w:before="40" w:after="40"/>
              <w:ind w:left="100" w:right="100"/>
            </w:pPr>
            <w:r w:rsidRPr="00616284">
              <w:rPr>
                <w:rFonts w:ascii="Calibri" w:eastAsia="Calibri" w:hAnsi="Calibri" w:cs="Calibri"/>
                <w:b/>
                <w:color w:val="111111"/>
                <w:sz w:val="18"/>
                <w:szCs w:val="18"/>
              </w:rPr>
              <w:t>NO</w:t>
            </w:r>
            <w:r w:rsidRPr="00616284">
              <w:rPr>
                <w:rFonts w:ascii="Calibri" w:eastAsia="Calibri" w:hAnsi="Calibri" w:cs="Calibri"/>
                <w:b/>
                <w:color w:val="111111"/>
                <w:sz w:val="18"/>
                <w:szCs w:val="18"/>
                <w:vertAlign w:val="subscript"/>
              </w:rPr>
              <w:t>X</w:t>
            </w:r>
          </w:p>
        </w:tc>
      </w:tr>
      <w:tr w:rsidR="002117B2" w14:paraId="0CB6801B"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67A52D4"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DC85586" w14:textId="77777777" w:rsidR="002117B2" w:rsidRDefault="00616284">
            <w:pPr>
              <w:spacing w:before="40" w:after="40"/>
              <w:ind w:left="100" w:right="100"/>
            </w:pPr>
            <w:r>
              <w:rPr>
                <w:rFonts w:ascii="Calibri" w:eastAsia="Calibri" w:hAnsi="Calibri" w:cs="Calibri"/>
                <w:color w:val="111111"/>
                <w:sz w:val="18"/>
                <w:szCs w:val="18"/>
              </w:rPr>
              <w:t>Annex I, 25/02/2020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985CC99" w14:textId="77777777" w:rsidR="002117B2" w:rsidRDefault="00616284">
            <w:pPr>
              <w:spacing w:before="40" w:after="40"/>
              <w:ind w:left="100" w:right="100"/>
              <w:jc w:val="right"/>
            </w:pPr>
            <w:r>
              <w:rPr>
                <w:rFonts w:ascii="Calibri" w:eastAsia="Calibri" w:hAnsi="Calibri" w:cs="Calibri"/>
                <w:color w:val="111111"/>
                <w:sz w:val="18"/>
                <w:szCs w:val="18"/>
              </w:rPr>
              <w:t>68.453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D06D809" w14:textId="77777777" w:rsidR="002117B2" w:rsidRDefault="00616284">
            <w:pPr>
              <w:spacing w:before="40" w:after="40"/>
              <w:ind w:left="100" w:right="100"/>
              <w:jc w:val="right"/>
            </w:pPr>
            <w:r>
              <w:rPr>
                <w:rFonts w:ascii="Calibri" w:eastAsia="Calibri" w:hAnsi="Calibri" w:cs="Calibri"/>
                <w:color w:val="111111"/>
                <w:sz w:val="18"/>
                <w:szCs w:val="18"/>
              </w:rPr>
              <w:t>64.743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A9A8B8F" w14:textId="77777777" w:rsidR="002117B2" w:rsidRDefault="00616284">
            <w:pPr>
              <w:spacing w:before="40" w:after="40"/>
              <w:ind w:left="100" w:right="100"/>
              <w:jc w:val="right"/>
            </w:pPr>
            <w:r>
              <w:rPr>
                <w:rFonts w:ascii="Calibri" w:eastAsia="Calibri" w:hAnsi="Calibri" w:cs="Calibri"/>
                <w:color w:val="111111"/>
                <w:sz w:val="18"/>
                <w:szCs w:val="18"/>
              </w:rPr>
              <w:t>61.824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5E8F94B" w14:textId="77777777" w:rsidR="002117B2" w:rsidRDefault="00616284">
            <w:pPr>
              <w:spacing w:before="40" w:after="40"/>
              <w:ind w:left="100" w:right="100"/>
              <w:jc w:val="right"/>
            </w:pPr>
            <w:r>
              <w:rPr>
                <w:rFonts w:ascii="Calibri" w:eastAsia="Calibri" w:hAnsi="Calibri" w:cs="Calibri"/>
                <w:color w:val="111111"/>
                <w:sz w:val="18"/>
                <w:szCs w:val="18"/>
              </w:rPr>
              <w:t>61.269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5B06DF7" w14:textId="77777777" w:rsidR="002117B2" w:rsidRDefault="00616284">
            <w:pPr>
              <w:spacing w:before="40" w:after="40"/>
              <w:ind w:left="100" w:right="100"/>
              <w:jc w:val="right"/>
            </w:pPr>
            <w:r>
              <w:rPr>
                <w:rFonts w:ascii="Calibri" w:eastAsia="Calibri" w:hAnsi="Calibri" w:cs="Calibri"/>
                <w:color w:val="111111"/>
                <w:sz w:val="18"/>
                <w:szCs w:val="18"/>
              </w:rPr>
              <w:t>57.658</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C776DA6" w14:textId="77777777" w:rsidR="002117B2" w:rsidRDefault="00616284">
            <w:pPr>
              <w:spacing w:before="40" w:after="40"/>
              <w:ind w:left="100" w:right="100"/>
              <w:jc w:val="right"/>
            </w:pPr>
            <w:r>
              <w:rPr>
                <w:rFonts w:ascii="Calibri" w:eastAsia="Calibri" w:hAnsi="Calibri" w:cs="Calibri"/>
                <w:color w:val="111111"/>
                <w:sz w:val="18"/>
                <w:szCs w:val="18"/>
              </w:rPr>
              <w:t>58.138</w:t>
            </w:r>
          </w:p>
        </w:tc>
      </w:tr>
      <w:tr w:rsidR="002117B2" w14:paraId="7360E8A7"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05D3698" w14:textId="7EAD2AE5"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3043432" w14:textId="77777777" w:rsidR="002117B2" w:rsidRDefault="00616284">
            <w:pPr>
              <w:spacing w:before="40" w:after="40"/>
              <w:ind w:left="100" w:right="100"/>
            </w:pPr>
            <w:r>
              <w:rPr>
                <w:rFonts w:ascii="Calibri" w:eastAsia="Calibri" w:hAnsi="Calibri" w:cs="Calibri"/>
                <w:color w:val="111111"/>
                <w:sz w:val="18"/>
                <w:szCs w:val="18"/>
              </w:rPr>
              <w:t>Annex I, 25/02/2020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35326DF" w14:textId="77777777" w:rsidR="002117B2" w:rsidRDefault="00616284">
            <w:pPr>
              <w:spacing w:before="40" w:after="40"/>
              <w:ind w:left="100" w:right="100"/>
              <w:jc w:val="right"/>
            </w:pPr>
            <w:r>
              <w:rPr>
                <w:rFonts w:ascii="Calibri" w:eastAsia="Calibri" w:hAnsi="Calibri" w:cs="Calibri"/>
                <w:color w:val="111111"/>
                <w:sz w:val="18"/>
                <w:szCs w:val="18"/>
              </w:rPr>
              <w:t>53.478</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8072881" w14:textId="77777777" w:rsidR="002117B2" w:rsidRDefault="00616284">
            <w:pPr>
              <w:spacing w:before="40" w:after="40"/>
              <w:ind w:left="100" w:right="100"/>
              <w:jc w:val="right"/>
            </w:pPr>
            <w:r>
              <w:rPr>
                <w:rFonts w:ascii="Calibri" w:eastAsia="Calibri" w:hAnsi="Calibri" w:cs="Calibri"/>
                <w:color w:val="111111"/>
                <w:sz w:val="18"/>
                <w:szCs w:val="18"/>
              </w:rPr>
              <w:t>64.743</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5A9C17E" w14:textId="77777777" w:rsidR="002117B2" w:rsidRDefault="00616284">
            <w:pPr>
              <w:spacing w:before="40" w:after="40"/>
              <w:ind w:left="100" w:right="100"/>
              <w:jc w:val="right"/>
            </w:pPr>
            <w:r>
              <w:rPr>
                <w:rFonts w:ascii="Calibri" w:eastAsia="Calibri" w:hAnsi="Calibri" w:cs="Calibri"/>
                <w:color w:val="111111"/>
                <w:sz w:val="18"/>
                <w:szCs w:val="18"/>
              </w:rPr>
              <w:t>61.824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C70D670" w14:textId="77777777" w:rsidR="002117B2" w:rsidRDefault="00616284">
            <w:pPr>
              <w:spacing w:before="40" w:after="40"/>
              <w:ind w:left="100" w:right="100"/>
              <w:jc w:val="right"/>
            </w:pPr>
            <w:r>
              <w:rPr>
                <w:rFonts w:ascii="Calibri" w:eastAsia="Calibri" w:hAnsi="Calibri" w:cs="Calibri"/>
                <w:color w:val="111111"/>
                <w:sz w:val="18"/>
                <w:szCs w:val="18"/>
              </w:rPr>
              <w:t>61.269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FDF7476" w14:textId="77777777" w:rsidR="002117B2" w:rsidRDefault="00616284">
            <w:pPr>
              <w:spacing w:before="40" w:after="40"/>
              <w:ind w:left="100" w:right="100"/>
              <w:jc w:val="right"/>
            </w:pPr>
            <w:r>
              <w:rPr>
                <w:rFonts w:ascii="Calibri" w:eastAsia="Calibri" w:hAnsi="Calibri" w:cs="Calibri"/>
                <w:color w:val="111111"/>
                <w:sz w:val="18"/>
                <w:szCs w:val="18"/>
              </w:rPr>
              <w:t>57.658</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A838A65" w14:textId="77777777" w:rsidR="002117B2" w:rsidRDefault="00616284">
            <w:pPr>
              <w:spacing w:before="40" w:after="40"/>
              <w:ind w:left="100" w:right="100"/>
              <w:jc w:val="right"/>
            </w:pPr>
            <w:r>
              <w:rPr>
                <w:rFonts w:ascii="Calibri" w:eastAsia="Calibri" w:hAnsi="Calibri" w:cs="Calibri"/>
                <w:color w:val="111111"/>
                <w:sz w:val="18"/>
                <w:szCs w:val="18"/>
              </w:rPr>
              <w:t>58.138</w:t>
            </w:r>
          </w:p>
        </w:tc>
      </w:tr>
      <w:tr w:rsidR="002117B2" w14:paraId="1357EF6B"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67CA5610" w14:textId="77777777" w:rsidR="002117B2" w:rsidRDefault="00616284">
            <w:pPr>
              <w:spacing w:before="40" w:after="40"/>
              <w:ind w:left="100" w:right="100"/>
            </w:pPr>
            <w:r>
              <w:rPr>
                <w:rFonts w:ascii="Calibri" w:eastAsia="Calibri" w:hAnsi="Calibri" w:cs="Calibri"/>
                <w:color w:val="111111"/>
                <w:sz w:val="18"/>
                <w:szCs w:val="18"/>
              </w:rPr>
              <w:t>2010 National Emission Ceiling</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58548658" w14:textId="77777777" w:rsidR="002117B2" w:rsidRDefault="00616284">
            <w:pPr>
              <w:spacing w:before="40" w:after="40"/>
              <w:ind w:left="100" w:right="100"/>
              <w:jc w:val="right"/>
            </w:pPr>
            <w:r>
              <w:rPr>
                <w:rFonts w:ascii="Calibri" w:eastAsia="Calibri" w:hAnsi="Calibri" w:cs="Calibri"/>
                <w:color w:val="111111"/>
                <w:sz w:val="18"/>
                <w:szCs w:val="18"/>
              </w:rPr>
              <w:t>n/a</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3DB2B257" w14:textId="77777777" w:rsidR="002117B2" w:rsidRDefault="00616284">
            <w:pPr>
              <w:spacing w:before="40" w:after="40"/>
              <w:ind w:left="100" w:right="100"/>
              <w:jc w:val="right"/>
            </w:pPr>
            <w:r>
              <w:rPr>
                <w:rFonts w:ascii="Calibri" w:eastAsia="Calibri" w:hAnsi="Calibri" w:cs="Calibri"/>
                <w:color w:val="111111"/>
                <w:sz w:val="18"/>
                <w:szCs w:val="18"/>
              </w:rPr>
              <w:t>110.000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0B707B51" w14:textId="77777777" w:rsidR="002117B2" w:rsidRDefault="00616284">
            <w:pPr>
              <w:spacing w:before="40" w:after="40"/>
              <w:ind w:left="100" w:right="100"/>
              <w:jc w:val="right"/>
            </w:pPr>
            <w:r>
              <w:rPr>
                <w:rFonts w:ascii="Calibri" w:eastAsia="Calibri" w:hAnsi="Calibri" w:cs="Calibri"/>
                <w:color w:val="111111"/>
                <w:sz w:val="18"/>
                <w:szCs w:val="18"/>
              </w:rPr>
              <w:t>110.000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75377F61" w14:textId="77777777" w:rsidR="002117B2" w:rsidRDefault="00616284">
            <w:pPr>
              <w:spacing w:before="40" w:after="40"/>
              <w:ind w:left="100" w:right="100"/>
              <w:jc w:val="right"/>
            </w:pPr>
            <w:r>
              <w:rPr>
                <w:rFonts w:ascii="Calibri" w:eastAsia="Calibri" w:hAnsi="Calibri" w:cs="Calibri"/>
                <w:color w:val="111111"/>
                <w:sz w:val="18"/>
                <w:szCs w:val="18"/>
              </w:rPr>
              <w:t>110.000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6D1EABD7" w14:textId="77777777" w:rsidR="002117B2" w:rsidRDefault="00616284">
            <w:pPr>
              <w:spacing w:before="40" w:after="40"/>
              <w:ind w:left="100" w:right="100"/>
              <w:jc w:val="right"/>
            </w:pPr>
            <w:r>
              <w:rPr>
                <w:rFonts w:ascii="Calibri" w:eastAsia="Calibri" w:hAnsi="Calibri" w:cs="Calibri"/>
                <w:color w:val="111111"/>
                <w:sz w:val="18"/>
                <w:szCs w:val="18"/>
              </w:rPr>
              <w:t>110.000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4CB33DD5" w14:textId="77777777" w:rsidR="002117B2" w:rsidRDefault="00616284">
            <w:pPr>
              <w:spacing w:before="40" w:after="40"/>
              <w:ind w:left="100" w:right="100"/>
              <w:jc w:val="right"/>
            </w:pPr>
            <w:r>
              <w:rPr>
                <w:rFonts w:ascii="Calibri" w:eastAsia="Calibri" w:hAnsi="Calibri" w:cs="Calibri"/>
                <w:color w:val="111111"/>
                <w:sz w:val="18"/>
                <w:szCs w:val="18"/>
              </w:rPr>
              <w:t>110.000</w:t>
            </w:r>
          </w:p>
        </w:tc>
      </w:tr>
      <w:tr w:rsidR="002117B2" w14:paraId="28EC8D18"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2F88A9F3" w14:textId="77777777" w:rsidR="002117B2" w:rsidRDefault="00616284">
            <w:pPr>
              <w:spacing w:before="40" w:after="40"/>
              <w:ind w:left="100" w:right="100"/>
            </w:pPr>
            <w:r>
              <w:rPr>
                <w:rFonts w:ascii="Calibri" w:eastAsia="Calibri" w:hAnsi="Calibri" w:cs="Calibri"/>
                <w:b/>
                <w:color w:val="111111"/>
                <w:sz w:val="18"/>
                <w:szCs w:val="18"/>
              </w:rPr>
              <w:t>NMVOC</w:t>
            </w:r>
          </w:p>
        </w:tc>
      </w:tr>
      <w:tr w:rsidR="002117B2" w14:paraId="05294AAB"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5EDA5F1"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903C852" w14:textId="77777777" w:rsidR="002117B2" w:rsidRDefault="00616284">
            <w:pPr>
              <w:spacing w:before="40" w:after="40"/>
              <w:ind w:left="100" w:right="100"/>
            </w:pPr>
            <w:r>
              <w:rPr>
                <w:rFonts w:ascii="Calibri" w:eastAsia="Calibri" w:hAnsi="Calibri" w:cs="Calibri"/>
                <w:color w:val="111111"/>
                <w:sz w:val="18"/>
                <w:szCs w:val="18"/>
              </w:rPr>
              <w:t>Annex I, 25/02/2020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128CD5B" w14:textId="77777777" w:rsidR="002117B2" w:rsidRDefault="00616284">
            <w:pPr>
              <w:spacing w:before="40" w:after="40"/>
              <w:ind w:left="100" w:right="100"/>
              <w:jc w:val="right"/>
            </w:pPr>
            <w:r>
              <w:rPr>
                <w:rFonts w:ascii="Calibri" w:eastAsia="Calibri" w:hAnsi="Calibri" w:cs="Calibri"/>
                <w:color w:val="111111"/>
                <w:sz w:val="18"/>
                <w:szCs w:val="18"/>
              </w:rPr>
              <w:t>55.741</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55ACE30" w14:textId="77777777" w:rsidR="002117B2" w:rsidRDefault="00616284">
            <w:pPr>
              <w:spacing w:before="40" w:after="40"/>
              <w:ind w:left="100" w:right="100"/>
              <w:jc w:val="right"/>
            </w:pPr>
            <w:r>
              <w:rPr>
                <w:rFonts w:ascii="Calibri" w:eastAsia="Calibri" w:hAnsi="Calibri" w:cs="Calibri"/>
                <w:color w:val="111111"/>
                <w:sz w:val="18"/>
                <w:szCs w:val="18"/>
              </w:rPr>
              <w:t>52.518</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7A4CEC5" w14:textId="77777777" w:rsidR="002117B2" w:rsidRDefault="00616284">
            <w:pPr>
              <w:spacing w:before="40" w:after="40"/>
              <w:ind w:left="100" w:right="100"/>
              <w:jc w:val="right"/>
            </w:pPr>
            <w:r>
              <w:rPr>
                <w:rFonts w:ascii="Calibri" w:eastAsia="Calibri" w:hAnsi="Calibri" w:cs="Calibri"/>
                <w:color w:val="111111"/>
                <w:sz w:val="18"/>
                <w:szCs w:val="18"/>
              </w:rPr>
              <w:t>44.626</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89D3DE8" w14:textId="77777777" w:rsidR="002117B2" w:rsidRDefault="00616284">
            <w:pPr>
              <w:spacing w:before="40" w:after="40"/>
              <w:ind w:left="100" w:right="100"/>
              <w:jc w:val="right"/>
            </w:pPr>
            <w:r>
              <w:rPr>
                <w:rFonts w:ascii="Calibri" w:eastAsia="Calibri" w:hAnsi="Calibri" w:cs="Calibri"/>
                <w:color w:val="111111"/>
                <w:sz w:val="18"/>
                <w:szCs w:val="18"/>
              </w:rPr>
              <w:t>44.569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35CE9CF" w14:textId="77777777" w:rsidR="002117B2" w:rsidRDefault="00616284">
            <w:pPr>
              <w:spacing w:before="40" w:after="40"/>
              <w:ind w:left="100" w:right="100"/>
              <w:jc w:val="right"/>
            </w:pPr>
            <w:r>
              <w:rPr>
                <w:rFonts w:ascii="Calibri" w:eastAsia="Calibri" w:hAnsi="Calibri" w:cs="Calibri"/>
                <w:color w:val="111111"/>
                <w:sz w:val="18"/>
                <w:szCs w:val="18"/>
              </w:rPr>
              <w:t>42.843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E82A60E" w14:textId="77777777" w:rsidR="002117B2" w:rsidRDefault="00616284">
            <w:pPr>
              <w:spacing w:before="40" w:after="40"/>
              <w:ind w:left="100" w:right="100"/>
              <w:jc w:val="right"/>
            </w:pPr>
            <w:r>
              <w:rPr>
                <w:rFonts w:ascii="Calibri" w:eastAsia="Calibri" w:hAnsi="Calibri" w:cs="Calibri"/>
                <w:color w:val="111111"/>
                <w:sz w:val="18"/>
                <w:szCs w:val="18"/>
              </w:rPr>
              <w:t>42.596</w:t>
            </w:r>
          </w:p>
        </w:tc>
      </w:tr>
      <w:tr w:rsidR="002117B2" w14:paraId="326FE5F2"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C2244F6" w14:textId="270AC744"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9BC45BD" w14:textId="77777777" w:rsidR="002117B2" w:rsidRDefault="00616284">
            <w:pPr>
              <w:spacing w:before="40" w:after="40"/>
              <w:ind w:left="100" w:right="100"/>
            </w:pPr>
            <w:r>
              <w:rPr>
                <w:rFonts w:ascii="Calibri" w:eastAsia="Calibri" w:hAnsi="Calibri" w:cs="Calibri"/>
                <w:color w:val="111111"/>
                <w:sz w:val="18"/>
                <w:szCs w:val="18"/>
              </w:rPr>
              <w:t>Annex I, 25/02/2020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6CC6296" w14:textId="77777777" w:rsidR="002117B2" w:rsidRDefault="00616284">
            <w:pPr>
              <w:spacing w:before="40" w:after="40"/>
              <w:ind w:left="100" w:right="100"/>
              <w:jc w:val="right"/>
            </w:pPr>
            <w:r>
              <w:rPr>
                <w:rFonts w:ascii="Calibri" w:eastAsia="Calibri" w:hAnsi="Calibri" w:cs="Calibri"/>
                <w:color w:val="111111"/>
                <w:sz w:val="18"/>
                <w:szCs w:val="18"/>
              </w:rPr>
              <w:t>41.927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9EF0928" w14:textId="77777777" w:rsidR="002117B2" w:rsidRDefault="00616284">
            <w:pPr>
              <w:spacing w:before="40" w:after="40"/>
              <w:ind w:left="100" w:right="100"/>
              <w:jc w:val="right"/>
            </w:pPr>
            <w:r>
              <w:rPr>
                <w:rFonts w:ascii="Calibri" w:eastAsia="Calibri" w:hAnsi="Calibri" w:cs="Calibri"/>
                <w:color w:val="111111"/>
                <w:sz w:val="18"/>
                <w:szCs w:val="18"/>
              </w:rPr>
              <w:t>52.518</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23F1655" w14:textId="77777777" w:rsidR="002117B2" w:rsidRDefault="00616284">
            <w:pPr>
              <w:spacing w:before="40" w:after="40"/>
              <w:ind w:left="100" w:right="100"/>
              <w:jc w:val="right"/>
            </w:pPr>
            <w:r>
              <w:rPr>
                <w:rFonts w:ascii="Calibri" w:eastAsia="Calibri" w:hAnsi="Calibri" w:cs="Calibri"/>
                <w:color w:val="111111"/>
                <w:sz w:val="18"/>
                <w:szCs w:val="18"/>
              </w:rPr>
              <w:t>44.626</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9486357" w14:textId="77777777" w:rsidR="002117B2" w:rsidRDefault="00616284">
            <w:pPr>
              <w:spacing w:before="40" w:after="40"/>
              <w:ind w:left="100" w:right="100"/>
              <w:jc w:val="right"/>
            </w:pPr>
            <w:r>
              <w:rPr>
                <w:rFonts w:ascii="Calibri" w:eastAsia="Calibri" w:hAnsi="Calibri" w:cs="Calibri"/>
                <w:color w:val="111111"/>
                <w:sz w:val="18"/>
                <w:szCs w:val="18"/>
              </w:rPr>
              <w:t>44.569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917DDBE" w14:textId="77777777" w:rsidR="002117B2" w:rsidRDefault="00616284">
            <w:pPr>
              <w:spacing w:before="40" w:after="40"/>
              <w:ind w:left="100" w:right="100"/>
              <w:jc w:val="right"/>
            </w:pPr>
            <w:r>
              <w:rPr>
                <w:rFonts w:ascii="Calibri" w:eastAsia="Calibri" w:hAnsi="Calibri" w:cs="Calibri"/>
                <w:color w:val="111111"/>
                <w:sz w:val="18"/>
                <w:szCs w:val="18"/>
              </w:rPr>
              <w:t>42.843</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3A2AA67" w14:textId="77777777" w:rsidR="002117B2" w:rsidRDefault="00616284">
            <w:pPr>
              <w:spacing w:before="40" w:after="40"/>
              <w:ind w:left="100" w:right="100"/>
              <w:jc w:val="right"/>
            </w:pPr>
            <w:r>
              <w:rPr>
                <w:rFonts w:ascii="Calibri" w:eastAsia="Calibri" w:hAnsi="Calibri" w:cs="Calibri"/>
                <w:color w:val="111111"/>
                <w:sz w:val="18"/>
                <w:szCs w:val="18"/>
              </w:rPr>
              <w:t>42.596</w:t>
            </w:r>
          </w:p>
        </w:tc>
      </w:tr>
      <w:tr w:rsidR="002117B2" w14:paraId="53612025"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D5350E" w14:textId="77777777" w:rsidR="002117B2" w:rsidRDefault="00616284">
            <w:pPr>
              <w:spacing w:before="40" w:after="40"/>
              <w:ind w:left="100" w:right="100"/>
            </w:pPr>
            <w:r>
              <w:rPr>
                <w:rFonts w:ascii="Calibri" w:eastAsia="Calibri" w:hAnsi="Calibri" w:cs="Calibri"/>
                <w:b/>
                <w:color w:val="111111"/>
                <w:sz w:val="18"/>
                <w:szCs w:val="18"/>
              </w:rPr>
              <w:t>Difference between original estimate and revised estimate provided by Lithuania and accepted by the TERT</w:t>
            </w:r>
          </w:p>
        </w:tc>
      </w:tr>
      <w:tr w:rsidR="002117B2" w14:paraId="12AD89E5"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1AFEE9" w14:textId="77777777" w:rsidR="002117B2" w:rsidRDefault="00616284">
            <w:pPr>
              <w:spacing w:before="40" w:after="40"/>
              <w:ind w:left="100" w:right="100"/>
            </w:pPr>
            <w:r>
              <w:rPr>
                <w:rFonts w:ascii="Calibri" w:eastAsia="Calibri" w:hAnsi="Calibri" w:cs="Calibri"/>
                <w:color w:val="111111"/>
                <w:sz w:val="18"/>
                <w:szCs w:val="18"/>
              </w:rPr>
              <w:t>1A3bv Road Transport: Gasoline Evaporation</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B217D2" w14:textId="77777777" w:rsidR="002117B2" w:rsidRDefault="00616284">
            <w:pPr>
              <w:spacing w:before="40" w:after="40"/>
              <w:ind w:left="100" w:right="100"/>
            </w:pPr>
            <w:r>
              <w:rPr>
                <w:rFonts w:ascii="Calibri" w:eastAsia="Calibri" w:hAnsi="Calibri" w:cs="Calibri"/>
                <w:color w:val="111111"/>
                <w:sz w:val="18"/>
                <w:szCs w:val="18"/>
              </w:rPr>
              <w:t>LT-1A3bv-2017-0001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48B1B2" w14:textId="77777777" w:rsidR="002117B2" w:rsidRDefault="00616284">
            <w:pPr>
              <w:spacing w:before="40" w:after="40"/>
              <w:ind w:left="100" w:right="100"/>
              <w:jc w:val="right"/>
            </w:pPr>
            <w:r>
              <w:rPr>
                <w:rFonts w:ascii="Calibri" w:eastAsia="Calibri" w:hAnsi="Calibri" w:cs="Calibri"/>
                <w:color w:val="111111"/>
                <w:sz w:val="18"/>
                <w:szCs w:val="18"/>
              </w:rPr>
              <w:t>-</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D5F4C6" w14:textId="77777777" w:rsidR="002117B2" w:rsidRDefault="00616284">
            <w:pPr>
              <w:spacing w:before="40" w:after="40"/>
              <w:ind w:left="100" w:right="100"/>
              <w:jc w:val="right"/>
            </w:pPr>
            <w:r>
              <w:rPr>
                <w:rFonts w:ascii="Calibri" w:eastAsia="Calibri" w:hAnsi="Calibri" w:cs="Calibri"/>
                <w:color w:val="111111"/>
                <w:sz w:val="18"/>
                <w:szCs w:val="18"/>
              </w:rPr>
              <w:t>0.260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1C141D" w14:textId="77777777" w:rsidR="002117B2" w:rsidRDefault="00616284">
            <w:pPr>
              <w:spacing w:before="40" w:after="40"/>
              <w:ind w:left="100" w:right="100"/>
              <w:jc w:val="right"/>
            </w:pPr>
            <w:r>
              <w:rPr>
                <w:rFonts w:ascii="Calibri" w:eastAsia="Calibri" w:hAnsi="Calibri" w:cs="Calibri"/>
                <w:color w:val="111111"/>
                <w:sz w:val="18"/>
                <w:szCs w:val="18"/>
              </w:rPr>
              <w:t>1.022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3C819D" w14:textId="77777777" w:rsidR="002117B2" w:rsidRDefault="00616284">
            <w:pPr>
              <w:spacing w:before="40" w:after="40"/>
              <w:ind w:left="100" w:right="100"/>
              <w:jc w:val="right"/>
            </w:pPr>
            <w:r>
              <w:rPr>
                <w:rFonts w:ascii="Calibri" w:eastAsia="Calibri" w:hAnsi="Calibri" w:cs="Calibri"/>
                <w:color w:val="111111"/>
                <w:sz w:val="18"/>
                <w:szCs w:val="18"/>
              </w:rPr>
              <w:t>0.764</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453F26" w14:textId="77777777" w:rsidR="002117B2" w:rsidRDefault="00616284">
            <w:pPr>
              <w:spacing w:before="40" w:after="40"/>
              <w:ind w:left="100" w:right="100"/>
              <w:jc w:val="right"/>
            </w:pPr>
            <w:r>
              <w:rPr>
                <w:rFonts w:ascii="Calibri" w:eastAsia="Calibri" w:hAnsi="Calibri" w:cs="Calibri"/>
                <w:color w:val="111111"/>
                <w:sz w:val="18"/>
                <w:szCs w:val="18"/>
              </w:rPr>
              <w:t>0.718</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9469DA" w14:textId="77777777" w:rsidR="002117B2" w:rsidRDefault="00616284">
            <w:pPr>
              <w:spacing w:before="40" w:after="40"/>
              <w:ind w:left="100" w:right="100"/>
              <w:jc w:val="right"/>
            </w:pPr>
            <w:r>
              <w:rPr>
                <w:rFonts w:ascii="Calibri" w:eastAsia="Calibri" w:hAnsi="Calibri" w:cs="Calibri"/>
                <w:color w:val="111111"/>
                <w:sz w:val="18"/>
                <w:szCs w:val="18"/>
              </w:rPr>
              <w:t>0.716</w:t>
            </w:r>
          </w:p>
        </w:tc>
      </w:tr>
      <w:tr w:rsidR="002117B2" w14:paraId="746F56D9"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8FC46D" w14:textId="77777777" w:rsidR="002117B2" w:rsidRDefault="00616284">
            <w:pPr>
              <w:spacing w:before="40" w:after="40"/>
              <w:ind w:left="100" w:right="100"/>
            </w:pPr>
            <w:r>
              <w:rPr>
                <w:rFonts w:ascii="Calibri" w:eastAsia="Calibri" w:hAnsi="Calibri" w:cs="Calibri"/>
                <w:b/>
                <w:color w:val="111111"/>
                <w:sz w:val="18"/>
                <w:szCs w:val="18"/>
              </w:rPr>
              <w:t>Difference between original estimate and technical correction deemed necessary by the TERT</w:t>
            </w:r>
          </w:p>
        </w:tc>
      </w:tr>
      <w:tr w:rsidR="002117B2" w14:paraId="11383D70"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63A715" w14:textId="77777777" w:rsidR="002117B2" w:rsidRDefault="00616284">
            <w:pPr>
              <w:spacing w:before="40" w:after="40"/>
              <w:ind w:left="100" w:right="100"/>
            </w:pPr>
            <w:r>
              <w:rPr>
                <w:rFonts w:ascii="Calibri" w:eastAsia="Calibri" w:hAnsi="Calibri" w:cs="Calibri"/>
                <w:color w:val="111111"/>
                <w:sz w:val="18"/>
                <w:szCs w:val="18"/>
              </w:rPr>
              <w:t>5A Biological Treatment of Waste - Solid Waste Disposal on Land</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0DD256" w14:textId="77777777" w:rsidR="002117B2" w:rsidRDefault="00616284">
            <w:pPr>
              <w:spacing w:before="40" w:after="40"/>
              <w:ind w:left="100" w:right="100"/>
            </w:pPr>
            <w:r>
              <w:rPr>
                <w:rFonts w:ascii="Calibri" w:eastAsia="Calibri" w:hAnsi="Calibri" w:cs="Calibri"/>
                <w:color w:val="111111"/>
                <w:sz w:val="18"/>
                <w:szCs w:val="18"/>
              </w:rPr>
              <w:t>LT-5A-2019-0002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4ACA8A" w14:textId="77777777" w:rsidR="002117B2" w:rsidRDefault="00616284">
            <w:pPr>
              <w:spacing w:before="40" w:after="40"/>
              <w:ind w:left="100" w:right="100"/>
              <w:jc w:val="right"/>
            </w:pPr>
            <w:r>
              <w:rPr>
                <w:rFonts w:ascii="Calibri" w:eastAsia="Calibri" w:hAnsi="Calibri" w:cs="Calibri"/>
                <w:color w:val="111111"/>
                <w:sz w:val="18"/>
                <w:szCs w:val="18"/>
              </w:rPr>
              <w:t>-1.433</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48EACD" w14:textId="77777777" w:rsidR="002117B2" w:rsidRDefault="00616284">
            <w:pPr>
              <w:spacing w:before="40" w:after="40"/>
              <w:ind w:left="100" w:right="100"/>
              <w:jc w:val="right"/>
            </w:pPr>
            <w:r>
              <w:rPr>
                <w:rFonts w:ascii="Calibri" w:eastAsia="Calibri" w:hAnsi="Calibri" w:cs="Calibri"/>
                <w:color w:val="111111"/>
                <w:sz w:val="18"/>
                <w:szCs w:val="18"/>
              </w:rPr>
              <w:t>-1.390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647357" w14:textId="77777777" w:rsidR="002117B2" w:rsidRDefault="00616284">
            <w:pPr>
              <w:spacing w:before="40" w:after="40"/>
              <w:ind w:left="100" w:right="100"/>
              <w:jc w:val="right"/>
            </w:pPr>
            <w:r>
              <w:rPr>
                <w:rFonts w:ascii="Calibri" w:eastAsia="Calibri" w:hAnsi="Calibri" w:cs="Calibri"/>
                <w:color w:val="111111"/>
                <w:sz w:val="18"/>
                <w:szCs w:val="18"/>
              </w:rPr>
              <w:t>-0.707</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A9CBA3" w14:textId="77777777" w:rsidR="002117B2" w:rsidRDefault="00616284">
            <w:pPr>
              <w:spacing w:before="40" w:after="40"/>
              <w:ind w:left="100" w:right="100"/>
              <w:jc w:val="right"/>
            </w:pPr>
            <w:r>
              <w:rPr>
                <w:rFonts w:ascii="Calibri" w:eastAsia="Calibri" w:hAnsi="Calibri" w:cs="Calibri"/>
                <w:color w:val="111111"/>
                <w:sz w:val="18"/>
                <w:szCs w:val="18"/>
              </w:rPr>
              <w:t>-0.318</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F60FF2" w14:textId="77777777" w:rsidR="002117B2" w:rsidRDefault="00616284">
            <w:pPr>
              <w:spacing w:before="40" w:after="40"/>
              <w:ind w:left="100" w:right="100"/>
              <w:jc w:val="right"/>
            </w:pPr>
            <w:r>
              <w:rPr>
                <w:rFonts w:ascii="Calibri" w:eastAsia="Calibri" w:hAnsi="Calibri" w:cs="Calibri"/>
                <w:color w:val="111111"/>
                <w:sz w:val="18"/>
                <w:szCs w:val="18"/>
              </w:rPr>
              <w:t>-0.134</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CE87AF" w14:textId="77777777" w:rsidR="002117B2" w:rsidRDefault="00616284">
            <w:pPr>
              <w:spacing w:before="40" w:after="40"/>
              <w:ind w:left="100" w:right="100"/>
              <w:jc w:val="right"/>
            </w:pPr>
            <w:r>
              <w:rPr>
                <w:rFonts w:ascii="Calibri" w:eastAsia="Calibri" w:hAnsi="Calibri" w:cs="Calibri"/>
                <w:color w:val="111111"/>
                <w:sz w:val="18"/>
                <w:szCs w:val="18"/>
              </w:rPr>
              <w:t>-0.213</w:t>
            </w:r>
          </w:p>
        </w:tc>
      </w:tr>
      <w:tr w:rsidR="002117B2" w14:paraId="6B14F563"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599A4A4" w14:textId="77777777" w:rsidR="002117B2" w:rsidRDefault="00616284">
            <w:pPr>
              <w:spacing w:before="40" w:after="40"/>
              <w:ind w:left="100" w:right="100"/>
            </w:pPr>
            <w:r>
              <w:rPr>
                <w:rFonts w:ascii="Calibri" w:eastAsia="Calibri" w:hAnsi="Calibri" w:cs="Calibri"/>
                <w:color w:val="111111"/>
                <w:sz w:val="18"/>
                <w:szCs w:val="18"/>
              </w:rPr>
              <w:t>National total (row 141) including revised estimates and technical corrections accepted by Lithuania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24DEED5" w14:textId="77777777" w:rsidR="002117B2" w:rsidRDefault="00616284">
            <w:pPr>
              <w:spacing w:before="40" w:after="40"/>
              <w:ind w:left="100" w:right="100"/>
              <w:jc w:val="right"/>
            </w:pPr>
            <w:r>
              <w:rPr>
                <w:rFonts w:ascii="Calibri" w:eastAsia="Calibri" w:hAnsi="Calibri" w:cs="Calibri"/>
                <w:color w:val="111111"/>
                <w:sz w:val="18"/>
                <w:szCs w:val="18"/>
              </w:rPr>
              <w:t>54.308</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2D0579D" w14:textId="77777777" w:rsidR="002117B2" w:rsidRDefault="00616284">
            <w:pPr>
              <w:spacing w:before="40" w:after="40"/>
              <w:ind w:left="100" w:right="100"/>
              <w:jc w:val="right"/>
            </w:pPr>
            <w:r>
              <w:rPr>
                <w:rFonts w:ascii="Calibri" w:eastAsia="Calibri" w:hAnsi="Calibri" w:cs="Calibri"/>
                <w:color w:val="111111"/>
                <w:sz w:val="18"/>
                <w:szCs w:val="18"/>
              </w:rPr>
              <w:t>51.388</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DBE1400" w14:textId="77777777" w:rsidR="002117B2" w:rsidRDefault="00616284">
            <w:pPr>
              <w:spacing w:before="40" w:after="40"/>
              <w:ind w:left="100" w:right="100"/>
              <w:jc w:val="right"/>
            </w:pPr>
            <w:r>
              <w:rPr>
                <w:rFonts w:ascii="Calibri" w:eastAsia="Calibri" w:hAnsi="Calibri" w:cs="Calibri"/>
                <w:color w:val="111111"/>
                <w:sz w:val="18"/>
                <w:szCs w:val="18"/>
              </w:rPr>
              <w:t>44.942</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0122868" w14:textId="77777777" w:rsidR="002117B2" w:rsidRDefault="00616284">
            <w:pPr>
              <w:spacing w:before="40" w:after="40"/>
              <w:ind w:left="100" w:right="100"/>
              <w:jc w:val="right"/>
            </w:pPr>
            <w:r>
              <w:rPr>
                <w:rFonts w:ascii="Calibri" w:eastAsia="Calibri" w:hAnsi="Calibri" w:cs="Calibri"/>
                <w:color w:val="111111"/>
                <w:sz w:val="18"/>
                <w:szCs w:val="18"/>
              </w:rPr>
              <w:t>45.015</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3A4E08B" w14:textId="77777777" w:rsidR="002117B2" w:rsidRDefault="00616284">
            <w:pPr>
              <w:spacing w:before="40" w:after="40"/>
              <w:ind w:left="100" w:right="100"/>
              <w:jc w:val="right"/>
            </w:pPr>
            <w:r>
              <w:rPr>
                <w:rFonts w:ascii="Calibri" w:eastAsia="Calibri" w:hAnsi="Calibri" w:cs="Calibri"/>
                <w:color w:val="111111"/>
                <w:sz w:val="18"/>
                <w:szCs w:val="18"/>
              </w:rPr>
              <w:t>43.428</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7470845" w14:textId="77777777" w:rsidR="002117B2" w:rsidRDefault="00616284">
            <w:pPr>
              <w:spacing w:before="40" w:after="40"/>
              <w:ind w:left="100" w:right="100"/>
              <w:jc w:val="right"/>
            </w:pPr>
            <w:r>
              <w:rPr>
                <w:rFonts w:ascii="Calibri" w:eastAsia="Calibri" w:hAnsi="Calibri" w:cs="Calibri"/>
                <w:color w:val="111111"/>
                <w:sz w:val="18"/>
                <w:szCs w:val="18"/>
              </w:rPr>
              <w:t>43.098</w:t>
            </w:r>
          </w:p>
        </w:tc>
      </w:tr>
      <w:tr w:rsidR="002117B2" w14:paraId="453B60E6"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E16CB42" w14:textId="6FFC4E18"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 estimate including revised estimates, technical corrections accepted by Lithuania and adjustments recommended (by technical expert review team) to be accepted by EC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B8052DA" w14:textId="77777777" w:rsidR="002117B2" w:rsidRDefault="00616284">
            <w:pPr>
              <w:spacing w:before="40" w:after="40"/>
              <w:ind w:left="100" w:right="100"/>
              <w:jc w:val="right"/>
            </w:pPr>
            <w:r>
              <w:rPr>
                <w:rFonts w:ascii="Calibri" w:eastAsia="Calibri" w:hAnsi="Calibri" w:cs="Calibri"/>
                <w:color w:val="111111"/>
                <w:sz w:val="18"/>
                <w:szCs w:val="18"/>
              </w:rPr>
              <w:t>40.494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4F77805" w14:textId="77777777" w:rsidR="002117B2" w:rsidRDefault="00616284">
            <w:pPr>
              <w:spacing w:before="40" w:after="40"/>
              <w:ind w:left="100" w:right="100"/>
              <w:jc w:val="right"/>
            </w:pPr>
            <w:r>
              <w:rPr>
                <w:rFonts w:ascii="Calibri" w:eastAsia="Calibri" w:hAnsi="Calibri" w:cs="Calibri"/>
                <w:color w:val="111111"/>
                <w:sz w:val="18"/>
                <w:szCs w:val="18"/>
              </w:rPr>
              <w:t>51.388</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4C4375A" w14:textId="77777777" w:rsidR="002117B2" w:rsidRDefault="00616284">
            <w:pPr>
              <w:spacing w:before="40" w:after="40"/>
              <w:ind w:left="100" w:right="100"/>
              <w:jc w:val="right"/>
            </w:pPr>
            <w:r>
              <w:rPr>
                <w:rFonts w:ascii="Calibri" w:eastAsia="Calibri" w:hAnsi="Calibri" w:cs="Calibri"/>
                <w:color w:val="111111"/>
                <w:sz w:val="18"/>
                <w:szCs w:val="18"/>
              </w:rPr>
              <w:t>44.942</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68C41E0" w14:textId="77777777" w:rsidR="002117B2" w:rsidRDefault="00616284">
            <w:pPr>
              <w:spacing w:before="40" w:after="40"/>
              <w:ind w:left="100" w:right="100"/>
              <w:jc w:val="right"/>
            </w:pPr>
            <w:r>
              <w:rPr>
                <w:rFonts w:ascii="Calibri" w:eastAsia="Calibri" w:hAnsi="Calibri" w:cs="Calibri"/>
                <w:color w:val="111111"/>
                <w:sz w:val="18"/>
                <w:szCs w:val="18"/>
              </w:rPr>
              <w:t>45.015</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DC80179" w14:textId="77777777" w:rsidR="002117B2" w:rsidRDefault="00616284">
            <w:pPr>
              <w:spacing w:before="40" w:after="40"/>
              <w:ind w:left="100" w:right="100"/>
              <w:jc w:val="right"/>
            </w:pPr>
            <w:r>
              <w:rPr>
                <w:rFonts w:ascii="Calibri" w:eastAsia="Calibri" w:hAnsi="Calibri" w:cs="Calibri"/>
                <w:color w:val="111111"/>
                <w:sz w:val="18"/>
                <w:szCs w:val="18"/>
              </w:rPr>
              <w:t>43.428</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CED434B" w14:textId="77777777" w:rsidR="002117B2" w:rsidRDefault="00616284">
            <w:pPr>
              <w:spacing w:before="40" w:after="40"/>
              <w:ind w:left="100" w:right="100"/>
              <w:jc w:val="right"/>
            </w:pPr>
            <w:r>
              <w:rPr>
                <w:rFonts w:ascii="Calibri" w:eastAsia="Calibri" w:hAnsi="Calibri" w:cs="Calibri"/>
                <w:color w:val="111111"/>
                <w:sz w:val="18"/>
                <w:szCs w:val="18"/>
              </w:rPr>
              <w:t>43.098</w:t>
            </w:r>
          </w:p>
        </w:tc>
      </w:tr>
      <w:tr w:rsidR="002117B2" w14:paraId="4D1593D8"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12012A6E" w14:textId="77777777" w:rsidR="002117B2" w:rsidRDefault="00616284">
            <w:pPr>
              <w:spacing w:before="40" w:after="40"/>
              <w:ind w:left="100" w:right="100"/>
            </w:pPr>
            <w:r>
              <w:rPr>
                <w:rFonts w:ascii="Calibri" w:eastAsia="Calibri" w:hAnsi="Calibri" w:cs="Calibri"/>
                <w:color w:val="111111"/>
                <w:sz w:val="18"/>
                <w:szCs w:val="18"/>
              </w:rPr>
              <w:t>2010 National Emission Ceiling</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51C56D64" w14:textId="77777777" w:rsidR="002117B2" w:rsidRDefault="00616284">
            <w:pPr>
              <w:spacing w:before="40" w:after="40"/>
              <w:ind w:left="100" w:right="100"/>
              <w:jc w:val="right"/>
            </w:pPr>
            <w:r>
              <w:rPr>
                <w:rFonts w:ascii="Calibri" w:eastAsia="Calibri" w:hAnsi="Calibri" w:cs="Calibri"/>
                <w:color w:val="111111"/>
                <w:sz w:val="18"/>
                <w:szCs w:val="18"/>
              </w:rPr>
              <w:t>n/a</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1E026E58" w14:textId="77777777" w:rsidR="002117B2" w:rsidRDefault="00616284">
            <w:pPr>
              <w:spacing w:before="40" w:after="40"/>
              <w:ind w:left="100" w:right="100"/>
              <w:jc w:val="right"/>
            </w:pPr>
            <w:r>
              <w:rPr>
                <w:rFonts w:ascii="Calibri" w:eastAsia="Calibri" w:hAnsi="Calibri" w:cs="Calibri"/>
                <w:color w:val="111111"/>
                <w:sz w:val="18"/>
                <w:szCs w:val="18"/>
              </w:rPr>
              <w:t>92.000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5E4FF7B7" w14:textId="77777777" w:rsidR="002117B2" w:rsidRDefault="00616284">
            <w:pPr>
              <w:spacing w:before="40" w:after="40"/>
              <w:ind w:left="100" w:right="100"/>
              <w:jc w:val="right"/>
            </w:pPr>
            <w:r>
              <w:rPr>
                <w:rFonts w:ascii="Calibri" w:eastAsia="Calibri" w:hAnsi="Calibri" w:cs="Calibri"/>
                <w:color w:val="111111"/>
                <w:sz w:val="18"/>
                <w:szCs w:val="18"/>
              </w:rPr>
              <w:t>92.000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3CDF07D7" w14:textId="77777777" w:rsidR="002117B2" w:rsidRDefault="00616284">
            <w:pPr>
              <w:spacing w:before="40" w:after="40"/>
              <w:ind w:left="100" w:right="100"/>
              <w:jc w:val="right"/>
            </w:pPr>
            <w:r>
              <w:rPr>
                <w:rFonts w:ascii="Calibri" w:eastAsia="Calibri" w:hAnsi="Calibri" w:cs="Calibri"/>
                <w:color w:val="111111"/>
                <w:sz w:val="18"/>
                <w:szCs w:val="18"/>
              </w:rPr>
              <w:t>92.000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533C8D35" w14:textId="77777777" w:rsidR="002117B2" w:rsidRDefault="00616284">
            <w:pPr>
              <w:spacing w:before="40" w:after="40"/>
              <w:ind w:left="100" w:right="100"/>
              <w:jc w:val="right"/>
            </w:pPr>
            <w:r>
              <w:rPr>
                <w:rFonts w:ascii="Calibri" w:eastAsia="Calibri" w:hAnsi="Calibri" w:cs="Calibri"/>
                <w:color w:val="111111"/>
                <w:sz w:val="18"/>
                <w:szCs w:val="18"/>
              </w:rPr>
              <w:t>92.000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55021CBE" w14:textId="77777777" w:rsidR="002117B2" w:rsidRDefault="00616284">
            <w:pPr>
              <w:spacing w:before="40" w:after="40"/>
              <w:ind w:left="100" w:right="100"/>
              <w:jc w:val="right"/>
            </w:pPr>
            <w:r>
              <w:rPr>
                <w:rFonts w:ascii="Calibri" w:eastAsia="Calibri" w:hAnsi="Calibri" w:cs="Calibri"/>
                <w:color w:val="111111"/>
                <w:sz w:val="18"/>
                <w:szCs w:val="18"/>
              </w:rPr>
              <w:t>92.000</w:t>
            </w:r>
          </w:p>
        </w:tc>
      </w:tr>
      <w:tr w:rsidR="002117B2" w14:paraId="4F4522C7"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4FD591BF" w14:textId="791E0008" w:rsidR="002117B2" w:rsidRDefault="00616284">
            <w:pPr>
              <w:spacing w:before="40" w:after="40"/>
              <w:ind w:left="100" w:right="100"/>
            </w:pPr>
            <w:r w:rsidRPr="00616284">
              <w:rPr>
                <w:rFonts w:ascii="Calibri" w:eastAsia="Calibri" w:hAnsi="Calibri" w:cs="Calibri"/>
                <w:b/>
                <w:color w:val="111111"/>
                <w:sz w:val="18"/>
                <w:szCs w:val="18"/>
              </w:rPr>
              <w:t>SO</w:t>
            </w:r>
            <w:r w:rsidRPr="00616284">
              <w:rPr>
                <w:rFonts w:ascii="Calibri" w:eastAsia="Calibri" w:hAnsi="Calibri" w:cs="Calibri"/>
                <w:b/>
                <w:color w:val="111111"/>
                <w:sz w:val="18"/>
                <w:szCs w:val="18"/>
                <w:vertAlign w:val="subscript"/>
              </w:rPr>
              <w:t>2</w:t>
            </w:r>
          </w:p>
        </w:tc>
      </w:tr>
      <w:tr w:rsidR="002117B2" w14:paraId="4AE036F1"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A5416B1"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6F75B70" w14:textId="77777777" w:rsidR="002117B2" w:rsidRDefault="00616284">
            <w:pPr>
              <w:spacing w:before="40" w:after="40"/>
              <w:ind w:left="100" w:right="100"/>
            </w:pPr>
            <w:r>
              <w:rPr>
                <w:rFonts w:ascii="Calibri" w:eastAsia="Calibri" w:hAnsi="Calibri" w:cs="Calibri"/>
                <w:color w:val="111111"/>
                <w:sz w:val="18"/>
                <w:szCs w:val="18"/>
              </w:rPr>
              <w:t>Annex I, 25/02/2020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A7BE169" w14:textId="77777777" w:rsidR="002117B2" w:rsidRDefault="00616284">
            <w:pPr>
              <w:spacing w:before="40" w:after="40"/>
              <w:ind w:left="100" w:right="100"/>
              <w:jc w:val="right"/>
            </w:pPr>
            <w:r>
              <w:rPr>
                <w:rFonts w:ascii="Calibri" w:eastAsia="Calibri" w:hAnsi="Calibri" w:cs="Calibri"/>
                <w:color w:val="111111"/>
                <w:sz w:val="18"/>
                <w:szCs w:val="18"/>
              </w:rPr>
              <w:t>27.407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D83273A" w14:textId="77777777" w:rsidR="002117B2" w:rsidRDefault="00616284">
            <w:pPr>
              <w:spacing w:before="40" w:after="40"/>
              <w:ind w:left="100" w:right="100"/>
              <w:jc w:val="right"/>
            </w:pPr>
            <w:r>
              <w:rPr>
                <w:rFonts w:ascii="Calibri" w:eastAsia="Calibri" w:hAnsi="Calibri" w:cs="Calibri"/>
                <w:color w:val="111111"/>
                <w:sz w:val="18"/>
                <w:szCs w:val="18"/>
              </w:rPr>
              <w:t>18.082</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B84AABF" w14:textId="77777777" w:rsidR="002117B2" w:rsidRDefault="00616284">
            <w:pPr>
              <w:spacing w:before="40" w:after="40"/>
              <w:ind w:left="100" w:right="100"/>
              <w:jc w:val="right"/>
            </w:pPr>
            <w:r>
              <w:rPr>
                <w:rFonts w:ascii="Calibri" w:eastAsia="Calibri" w:hAnsi="Calibri" w:cs="Calibri"/>
                <w:color w:val="111111"/>
                <w:sz w:val="18"/>
                <w:szCs w:val="18"/>
              </w:rPr>
              <w:t>15.012</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B973095" w14:textId="77777777" w:rsidR="002117B2" w:rsidRDefault="00616284">
            <w:pPr>
              <w:spacing w:before="40" w:after="40"/>
              <w:ind w:left="100" w:right="100"/>
              <w:jc w:val="right"/>
            </w:pPr>
            <w:r>
              <w:rPr>
                <w:rFonts w:ascii="Calibri" w:eastAsia="Calibri" w:hAnsi="Calibri" w:cs="Calibri"/>
                <w:color w:val="111111"/>
                <w:sz w:val="18"/>
                <w:szCs w:val="18"/>
              </w:rPr>
              <w:t>14.944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22FC41C" w14:textId="77777777" w:rsidR="002117B2" w:rsidRDefault="00616284">
            <w:pPr>
              <w:spacing w:before="40" w:after="40"/>
              <w:ind w:left="100" w:right="100"/>
              <w:jc w:val="right"/>
            </w:pPr>
            <w:r>
              <w:rPr>
                <w:rFonts w:ascii="Calibri" w:eastAsia="Calibri" w:hAnsi="Calibri" w:cs="Calibri"/>
                <w:color w:val="111111"/>
                <w:sz w:val="18"/>
                <w:szCs w:val="18"/>
              </w:rPr>
              <w:t>12.730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D8322F1" w14:textId="77777777" w:rsidR="002117B2" w:rsidRDefault="00616284">
            <w:pPr>
              <w:spacing w:before="40" w:after="40"/>
              <w:ind w:left="100" w:right="100"/>
              <w:jc w:val="right"/>
            </w:pPr>
            <w:r>
              <w:rPr>
                <w:rFonts w:ascii="Calibri" w:eastAsia="Calibri" w:hAnsi="Calibri" w:cs="Calibri"/>
                <w:color w:val="111111"/>
                <w:sz w:val="18"/>
                <w:szCs w:val="18"/>
              </w:rPr>
              <w:t>12.776</w:t>
            </w:r>
          </w:p>
        </w:tc>
      </w:tr>
      <w:tr w:rsidR="002117B2" w14:paraId="4A335EA1"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6A888A8" w14:textId="47913248"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A8F44FC" w14:textId="77777777" w:rsidR="002117B2" w:rsidRDefault="00616284">
            <w:pPr>
              <w:spacing w:before="40" w:after="40"/>
              <w:ind w:left="100" w:right="100"/>
            </w:pPr>
            <w:r>
              <w:rPr>
                <w:rFonts w:ascii="Calibri" w:eastAsia="Calibri" w:hAnsi="Calibri" w:cs="Calibri"/>
                <w:color w:val="111111"/>
                <w:sz w:val="18"/>
                <w:szCs w:val="18"/>
              </w:rPr>
              <w:t>Annex I, 25/02/2020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5565AFA" w14:textId="77777777" w:rsidR="002117B2" w:rsidRDefault="00616284">
            <w:pPr>
              <w:spacing w:before="40" w:after="40"/>
              <w:ind w:left="100" w:right="100"/>
              <w:jc w:val="right"/>
            </w:pPr>
            <w:r>
              <w:rPr>
                <w:rFonts w:ascii="Calibri" w:eastAsia="Calibri" w:hAnsi="Calibri" w:cs="Calibri"/>
                <w:color w:val="111111"/>
                <w:sz w:val="18"/>
                <w:szCs w:val="18"/>
              </w:rPr>
              <w:t>27.407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CED0416" w14:textId="77777777" w:rsidR="002117B2" w:rsidRDefault="00616284">
            <w:pPr>
              <w:spacing w:before="40" w:after="40"/>
              <w:ind w:left="100" w:right="100"/>
              <w:jc w:val="right"/>
            </w:pPr>
            <w:r>
              <w:rPr>
                <w:rFonts w:ascii="Calibri" w:eastAsia="Calibri" w:hAnsi="Calibri" w:cs="Calibri"/>
                <w:color w:val="111111"/>
                <w:sz w:val="18"/>
                <w:szCs w:val="18"/>
              </w:rPr>
              <w:t>18.082</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BC27C9C" w14:textId="77777777" w:rsidR="002117B2" w:rsidRDefault="00616284">
            <w:pPr>
              <w:spacing w:before="40" w:after="40"/>
              <w:ind w:left="100" w:right="100"/>
              <w:jc w:val="right"/>
            </w:pPr>
            <w:r>
              <w:rPr>
                <w:rFonts w:ascii="Calibri" w:eastAsia="Calibri" w:hAnsi="Calibri" w:cs="Calibri"/>
                <w:color w:val="111111"/>
                <w:sz w:val="18"/>
                <w:szCs w:val="18"/>
              </w:rPr>
              <w:t>15.012</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F33447C" w14:textId="77777777" w:rsidR="002117B2" w:rsidRDefault="00616284">
            <w:pPr>
              <w:spacing w:before="40" w:after="40"/>
              <w:ind w:left="100" w:right="100"/>
              <w:jc w:val="right"/>
            </w:pPr>
            <w:r>
              <w:rPr>
                <w:rFonts w:ascii="Calibri" w:eastAsia="Calibri" w:hAnsi="Calibri" w:cs="Calibri"/>
                <w:color w:val="111111"/>
                <w:sz w:val="18"/>
                <w:szCs w:val="18"/>
              </w:rPr>
              <w:t>14.944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CD744C0" w14:textId="77777777" w:rsidR="002117B2" w:rsidRDefault="00616284">
            <w:pPr>
              <w:spacing w:before="40" w:after="40"/>
              <w:ind w:left="100" w:right="100"/>
              <w:jc w:val="right"/>
            </w:pPr>
            <w:r>
              <w:rPr>
                <w:rFonts w:ascii="Calibri" w:eastAsia="Calibri" w:hAnsi="Calibri" w:cs="Calibri"/>
                <w:color w:val="111111"/>
                <w:sz w:val="18"/>
                <w:szCs w:val="18"/>
              </w:rPr>
              <w:t>12.730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97575C2" w14:textId="77777777" w:rsidR="002117B2" w:rsidRDefault="00616284">
            <w:pPr>
              <w:spacing w:before="40" w:after="40"/>
              <w:ind w:left="100" w:right="100"/>
              <w:jc w:val="right"/>
            </w:pPr>
            <w:r>
              <w:rPr>
                <w:rFonts w:ascii="Calibri" w:eastAsia="Calibri" w:hAnsi="Calibri" w:cs="Calibri"/>
                <w:color w:val="111111"/>
                <w:sz w:val="18"/>
                <w:szCs w:val="18"/>
              </w:rPr>
              <w:t>12.776</w:t>
            </w:r>
          </w:p>
        </w:tc>
      </w:tr>
      <w:tr w:rsidR="002117B2" w14:paraId="25A7EBFE"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2FC22772" w14:textId="77777777" w:rsidR="002117B2" w:rsidRDefault="00616284">
            <w:pPr>
              <w:spacing w:before="40" w:after="40"/>
              <w:ind w:left="100" w:right="100"/>
            </w:pPr>
            <w:r>
              <w:rPr>
                <w:rFonts w:ascii="Calibri" w:eastAsia="Calibri" w:hAnsi="Calibri" w:cs="Calibri"/>
                <w:color w:val="111111"/>
                <w:sz w:val="18"/>
                <w:szCs w:val="18"/>
              </w:rPr>
              <w:t>2010 National Emission Ceiling</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46701BE7" w14:textId="77777777" w:rsidR="002117B2" w:rsidRDefault="00616284">
            <w:pPr>
              <w:spacing w:before="40" w:after="40"/>
              <w:ind w:left="100" w:right="100"/>
              <w:jc w:val="right"/>
            </w:pPr>
            <w:r>
              <w:rPr>
                <w:rFonts w:ascii="Calibri" w:eastAsia="Calibri" w:hAnsi="Calibri" w:cs="Calibri"/>
                <w:color w:val="111111"/>
                <w:sz w:val="18"/>
                <w:szCs w:val="18"/>
              </w:rPr>
              <w:t>n/a</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55EB3E70" w14:textId="77777777" w:rsidR="002117B2" w:rsidRDefault="00616284">
            <w:pPr>
              <w:spacing w:before="40" w:after="40"/>
              <w:ind w:left="100" w:right="100"/>
              <w:jc w:val="right"/>
            </w:pPr>
            <w:r>
              <w:rPr>
                <w:rFonts w:ascii="Calibri" w:eastAsia="Calibri" w:hAnsi="Calibri" w:cs="Calibri"/>
                <w:color w:val="111111"/>
                <w:sz w:val="18"/>
                <w:szCs w:val="18"/>
              </w:rPr>
              <w:t>145.000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3CC74081" w14:textId="77777777" w:rsidR="002117B2" w:rsidRDefault="00616284">
            <w:pPr>
              <w:spacing w:before="40" w:after="40"/>
              <w:ind w:left="100" w:right="100"/>
              <w:jc w:val="right"/>
            </w:pPr>
            <w:r>
              <w:rPr>
                <w:rFonts w:ascii="Calibri" w:eastAsia="Calibri" w:hAnsi="Calibri" w:cs="Calibri"/>
                <w:color w:val="111111"/>
                <w:sz w:val="18"/>
                <w:szCs w:val="18"/>
              </w:rPr>
              <w:t>145.000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43026B55" w14:textId="77777777" w:rsidR="002117B2" w:rsidRDefault="00616284">
            <w:pPr>
              <w:spacing w:before="40" w:after="40"/>
              <w:ind w:left="100" w:right="100"/>
              <w:jc w:val="right"/>
            </w:pPr>
            <w:r>
              <w:rPr>
                <w:rFonts w:ascii="Calibri" w:eastAsia="Calibri" w:hAnsi="Calibri" w:cs="Calibri"/>
                <w:color w:val="111111"/>
                <w:sz w:val="18"/>
                <w:szCs w:val="18"/>
              </w:rPr>
              <w:t>145.000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4EDC66E2" w14:textId="77777777" w:rsidR="002117B2" w:rsidRDefault="00616284">
            <w:pPr>
              <w:spacing w:before="40" w:after="40"/>
              <w:ind w:left="100" w:right="100"/>
              <w:jc w:val="right"/>
            </w:pPr>
            <w:r>
              <w:rPr>
                <w:rFonts w:ascii="Calibri" w:eastAsia="Calibri" w:hAnsi="Calibri" w:cs="Calibri"/>
                <w:color w:val="111111"/>
                <w:sz w:val="18"/>
                <w:szCs w:val="18"/>
              </w:rPr>
              <w:t>145.000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7863BF1E" w14:textId="77777777" w:rsidR="002117B2" w:rsidRDefault="00616284">
            <w:pPr>
              <w:spacing w:before="40" w:after="40"/>
              <w:ind w:left="100" w:right="100"/>
              <w:jc w:val="right"/>
            </w:pPr>
            <w:r>
              <w:rPr>
                <w:rFonts w:ascii="Calibri" w:eastAsia="Calibri" w:hAnsi="Calibri" w:cs="Calibri"/>
                <w:color w:val="111111"/>
                <w:sz w:val="18"/>
                <w:szCs w:val="18"/>
              </w:rPr>
              <w:t>145.000</w:t>
            </w:r>
          </w:p>
        </w:tc>
      </w:tr>
      <w:tr w:rsidR="002117B2" w14:paraId="6849BEB9"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3615401F" w14:textId="2E80D15C" w:rsidR="002117B2" w:rsidRDefault="00616284">
            <w:pPr>
              <w:spacing w:before="40" w:after="40"/>
              <w:ind w:left="100" w:right="100"/>
            </w:pPr>
            <w:r w:rsidRPr="00616284">
              <w:rPr>
                <w:rFonts w:ascii="Calibri" w:eastAsia="Calibri" w:hAnsi="Calibri" w:cs="Calibri"/>
                <w:b/>
                <w:color w:val="111111"/>
                <w:sz w:val="18"/>
                <w:szCs w:val="18"/>
              </w:rPr>
              <w:t>NH</w:t>
            </w:r>
            <w:r w:rsidRPr="00616284">
              <w:rPr>
                <w:rFonts w:ascii="Calibri" w:eastAsia="Calibri" w:hAnsi="Calibri" w:cs="Calibri"/>
                <w:b/>
                <w:color w:val="111111"/>
                <w:sz w:val="18"/>
                <w:szCs w:val="18"/>
                <w:vertAlign w:val="subscript"/>
              </w:rPr>
              <w:t>3</w:t>
            </w:r>
          </w:p>
        </w:tc>
      </w:tr>
      <w:tr w:rsidR="002117B2" w14:paraId="03EB1600"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026BAC3"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8D7B8D6" w14:textId="77777777" w:rsidR="002117B2" w:rsidRDefault="00616284">
            <w:pPr>
              <w:spacing w:before="40" w:after="40"/>
              <w:ind w:left="100" w:right="100"/>
            </w:pPr>
            <w:r>
              <w:rPr>
                <w:rFonts w:ascii="Calibri" w:eastAsia="Calibri" w:hAnsi="Calibri" w:cs="Calibri"/>
                <w:color w:val="111111"/>
                <w:sz w:val="18"/>
                <w:szCs w:val="18"/>
              </w:rPr>
              <w:t>Annex I, 25/02/2020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6DAB619" w14:textId="77777777" w:rsidR="002117B2" w:rsidRDefault="00616284">
            <w:pPr>
              <w:spacing w:before="40" w:after="40"/>
              <w:ind w:left="100" w:right="100"/>
              <w:jc w:val="right"/>
            </w:pPr>
            <w:r>
              <w:rPr>
                <w:rFonts w:ascii="Calibri" w:eastAsia="Calibri" w:hAnsi="Calibri" w:cs="Calibri"/>
                <w:color w:val="111111"/>
                <w:sz w:val="18"/>
                <w:szCs w:val="18"/>
              </w:rPr>
              <w:t>37.307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F889415" w14:textId="77777777" w:rsidR="002117B2" w:rsidRDefault="00616284">
            <w:pPr>
              <w:spacing w:before="40" w:after="40"/>
              <w:ind w:left="100" w:right="100"/>
              <w:jc w:val="right"/>
            </w:pPr>
            <w:r>
              <w:rPr>
                <w:rFonts w:ascii="Calibri" w:eastAsia="Calibri" w:hAnsi="Calibri" w:cs="Calibri"/>
                <w:color w:val="111111"/>
                <w:sz w:val="18"/>
                <w:szCs w:val="18"/>
              </w:rPr>
              <w:t>36.779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5A5A98B" w14:textId="77777777" w:rsidR="002117B2" w:rsidRDefault="00616284">
            <w:pPr>
              <w:spacing w:before="40" w:after="40"/>
              <w:ind w:left="100" w:right="100"/>
              <w:jc w:val="right"/>
            </w:pPr>
            <w:r>
              <w:rPr>
                <w:rFonts w:ascii="Calibri" w:eastAsia="Calibri" w:hAnsi="Calibri" w:cs="Calibri"/>
                <w:color w:val="111111"/>
                <w:sz w:val="18"/>
                <w:szCs w:val="18"/>
              </w:rPr>
              <w:t>38.925</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F661103" w14:textId="77777777" w:rsidR="002117B2" w:rsidRDefault="00616284">
            <w:pPr>
              <w:spacing w:before="40" w:after="40"/>
              <w:ind w:left="100" w:right="100"/>
              <w:jc w:val="right"/>
            </w:pPr>
            <w:r>
              <w:rPr>
                <w:rFonts w:ascii="Calibri" w:eastAsia="Calibri" w:hAnsi="Calibri" w:cs="Calibri"/>
                <w:color w:val="111111"/>
                <w:sz w:val="18"/>
                <w:szCs w:val="18"/>
              </w:rPr>
              <w:t>38.329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9A77FEC" w14:textId="77777777" w:rsidR="002117B2" w:rsidRDefault="00616284">
            <w:pPr>
              <w:spacing w:before="40" w:after="40"/>
              <w:ind w:left="100" w:right="100"/>
              <w:jc w:val="right"/>
            </w:pPr>
            <w:r>
              <w:rPr>
                <w:rFonts w:ascii="Calibri" w:eastAsia="Calibri" w:hAnsi="Calibri" w:cs="Calibri"/>
                <w:color w:val="111111"/>
                <w:sz w:val="18"/>
                <w:szCs w:val="18"/>
              </w:rPr>
              <w:t>39.363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9E366C9" w14:textId="77777777" w:rsidR="002117B2" w:rsidRDefault="00616284">
            <w:pPr>
              <w:spacing w:before="40" w:after="40"/>
              <w:ind w:left="100" w:right="100"/>
              <w:jc w:val="right"/>
            </w:pPr>
            <w:r>
              <w:rPr>
                <w:rFonts w:ascii="Calibri" w:eastAsia="Calibri" w:hAnsi="Calibri" w:cs="Calibri"/>
                <w:color w:val="111111"/>
                <w:sz w:val="18"/>
                <w:szCs w:val="18"/>
              </w:rPr>
              <w:t>38.890</w:t>
            </w:r>
          </w:p>
        </w:tc>
      </w:tr>
      <w:tr w:rsidR="002117B2" w14:paraId="56EB6649"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CB79D78" w14:textId="27698FDA"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B20E985" w14:textId="77777777" w:rsidR="002117B2" w:rsidRDefault="00616284">
            <w:pPr>
              <w:spacing w:before="40" w:after="40"/>
              <w:ind w:left="100" w:right="100"/>
            </w:pPr>
            <w:r>
              <w:rPr>
                <w:rFonts w:ascii="Calibri" w:eastAsia="Calibri" w:hAnsi="Calibri" w:cs="Calibri"/>
                <w:color w:val="111111"/>
                <w:sz w:val="18"/>
                <w:szCs w:val="18"/>
              </w:rPr>
              <w:t>Annex I, 25/02/2020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8AB86EF" w14:textId="77777777" w:rsidR="002117B2" w:rsidRDefault="00616284">
            <w:pPr>
              <w:spacing w:before="40" w:after="40"/>
              <w:ind w:left="100" w:right="100"/>
              <w:jc w:val="right"/>
            </w:pPr>
            <w:r>
              <w:rPr>
                <w:rFonts w:ascii="Calibri" w:eastAsia="Calibri" w:hAnsi="Calibri" w:cs="Calibri"/>
                <w:color w:val="111111"/>
                <w:sz w:val="18"/>
                <w:szCs w:val="18"/>
              </w:rPr>
              <w:t>37.307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7643CB8" w14:textId="77777777" w:rsidR="002117B2" w:rsidRDefault="00616284">
            <w:pPr>
              <w:spacing w:before="40" w:after="40"/>
              <w:ind w:left="100" w:right="100"/>
              <w:jc w:val="right"/>
            </w:pPr>
            <w:r>
              <w:rPr>
                <w:rFonts w:ascii="Calibri" w:eastAsia="Calibri" w:hAnsi="Calibri" w:cs="Calibri"/>
                <w:color w:val="111111"/>
                <w:sz w:val="18"/>
                <w:szCs w:val="18"/>
              </w:rPr>
              <w:t>36.779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B7A13AB" w14:textId="77777777" w:rsidR="002117B2" w:rsidRDefault="00616284">
            <w:pPr>
              <w:spacing w:before="40" w:after="40"/>
              <w:ind w:left="100" w:right="100"/>
              <w:jc w:val="right"/>
            </w:pPr>
            <w:r>
              <w:rPr>
                <w:rFonts w:ascii="Calibri" w:eastAsia="Calibri" w:hAnsi="Calibri" w:cs="Calibri"/>
                <w:color w:val="111111"/>
                <w:sz w:val="18"/>
                <w:szCs w:val="18"/>
              </w:rPr>
              <w:t>38.925</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5516323" w14:textId="77777777" w:rsidR="002117B2" w:rsidRDefault="00616284">
            <w:pPr>
              <w:spacing w:before="40" w:after="40"/>
              <w:ind w:left="100" w:right="100"/>
              <w:jc w:val="right"/>
            </w:pPr>
            <w:r>
              <w:rPr>
                <w:rFonts w:ascii="Calibri" w:eastAsia="Calibri" w:hAnsi="Calibri" w:cs="Calibri"/>
                <w:color w:val="111111"/>
                <w:sz w:val="18"/>
                <w:szCs w:val="18"/>
              </w:rPr>
              <w:t>38.329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E54EB4A" w14:textId="77777777" w:rsidR="002117B2" w:rsidRDefault="00616284">
            <w:pPr>
              <w:spacing w:before="40" w:after="40"/>
              <w:ind w:left="100" w:right="100"/>
              <w:jc w:val="right"/>
            </w:pPr>
            <w:r>
              <w:rPr>
                <w:rFonts w:ascii="Calibri" w:eastAsia="Calibri" w:hAnsi="Calibri" w:cs="Calibri"/>
                <w:color w:val="111111"/>
                <w:sz w:val="18"/>
                <w:szCs w:val="18"/>
              </w:rPr>
              <w:t>39.363</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AD34ADA" w14:textId="77777777" w:rsidR="002117B2" w:rsidRDefault="00616284">
            <w:pPr>
              <w:spacing w:before="40" w:after="40"/>
              <w:ind w:left="100" w:right="100"/>
              <w:jc w:val="right"/>
            </w:pPr>
            <w:r>
              <w:rPr>
                <w:rFonts w:ascii="Calibri" w:eastAsia="Calibri" w:hAnsi="Calibri" w:cs="Calibri"/>
                <w:color w:val="111111"/>
                <w:sz w:val="18"/>
                <w:szCs w:val="18"/>
              </w:rPr>
              <w:t>38.890</w:t>
            </w:r>
          </w:p>
        </w:tc>
      </w:tr>
      <w:tr w:rsidR="002117B2" w14:paraId="1DB0F509"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BFD73D" w14:textId="77777777" w:rsidR="002117B2" w:rsidRDefault="00616284">
            <w:pPr>
              <w:spacing w:before="40" w:after="40"/>
              <w:ind w:left="100" w:right="100"/>
            </w:pPr>
            <w:r>
              <w:rPr>
                <w:rFonts w:ascii="Calibri" w:eastAsia="Calibri" w:hAnsi="Calibri" w:cs="Calibri"/>
                <w:b/>
                <w:color w:val="111111"/>
                <w:sz w:val="18"/>
                <w:szCs w:val="18"/>
              </w:rPr>
              <w:t>Difference between original estimate and revised estimate provided by Lithuania and accepted by the TERT</w:t>
            </w:r>
          </w:p>
        </w:tc>
      </w:tr>
      <w:tr w:rsidR="002117B2" w14:paraId="6B50257A"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B524C0" w14:textId="77777777" w:rsidR="002117B2" w:rsidRDefault="00616284">
            <w:pPr>
              <w:spacing w:before="40" w:after="40"/>
              <w:ind w:left="100" w:right="100"/>
            </w:pPr>
            <w:r>
              <w:rPr>
                <w:rFonts w:ascii="Calibri" w:eastAsia="Calibri" w:hAnsi="Calibri" w:cs="Calibri"/>
                <w:color w:val="111111"/>
                <w:sz w:val="18"/>
                <w:szCs w:val="18"/>
              </w:rPr>
              <w:t>3B1a Manure Management - Dairy Cattle</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4FA25B" w14:textId="77777777" w:rsidR="002117B2" w:rsidRDefault="00616284">
            <w:pPr>
              <w:spacing w:before="40" w:after="40"/>
              <w:ind w:left="100" w:right="100"/>
            </w:pPr>
            <w:r>
              <w:rPr>
                <w:rFonts w:ascii="Calibri" w:eastAsia="Calibri" w:hAnsi="Calibri" w:cs="Calibri"/>
                <w:color w:val="111111"/>
                <w:sz w:val="18"/>
                <w:szCs w:val="18"/>
              </w:rPr>
              <w:t>LT-3B1a-2020-0001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145746" w14:textId="77777777" w:rsidR="002117B2" w:rsidRDefault="00616284">
            <w:pPr>
              <w:spacing w:before="40" w:after="40"/>
              <w:ind w:left="100" w:right="100"/>
              <w:jc w:val="right"/>
            </w:pPr>
            <w:r>
              <w:rPr>
                <w:rFonts w:ascii="Calibri" w:eastAsia="Calibri" w:hAnsi="Calibri" w:cs="Calibri"/>
                <w:color w:val="111111"/>
                <w:sz w:val="18"/>
                <w:szCs w:val="18"/>
              </w:rPr>
              <w:t>1.366</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64E694" w14:textId="77777777" w:rsidR="002117B2" w:rsidRDefault="00616284">
            <w:pPr>
              <w:spacing w:before="40" w:after="40"/>
              <w:ind w:left="100" w:right="100"/>
              <w:jc w:val="right"/>
            </w:pPr>
            <w:r>
              <w:rPr>
                <w:rFonts w:ascii="Calibri" w:eastAsia="Calibri" w:hAnsi="Calibri" w:cs="Calibri"/>
                <w:color w:val="111111"/>
                <w:sz w:val="18"/>
                <w:szCs w:val="18"/>
              </w:rPr>
              <w:t>1.300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EEA6EA" w14:textId="77777777" w:rsidR="002117B2" w:rsidRDefault="00616284">
            <w:pPr>
              <w:spacing w:before="40" w:after="40"/>
              <w:ind w:left="100" w:right="100"/>
              <w:jc w:val="right"/>
            </w:pPr>
            <w:r>
              <w:rPr>
                <w:rFonts w:ascii="Calibri" w:eastAsia="Calibri" w:hAnsi="Calibri" w:cs="Calibri"/>
                <w:color w:val="111111"/>
                <w:sz w:val="18"/>
                <w:szCs w:val="18"/>
              </w:rPr>
              <w:t>1.224</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862F1C" w14:textId="77777777" w:rsidR="002117B2" w:rsidRDefault="00616284">
            <w:pPr>
              <w:spacing w:before="40" w:after="40"/>
              <w:ind w:left="100" w:right="100"/>
              <w:jc w:val="right"/>
            </w:pPr>
            <w:r>
              <w:rPr>
                <w:rFonts w:ascii="Calibri" w:eastAsia="Calibri" w:hAnsi="Calibri" w:cs="Calibri"/>
                <w:color w:val="111111"/>
                <w:sz w:val="18"/>
                <w:szCs w:val="18"/>
              </w:rPr>
              <w:t>1.148</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C9FF51" w14:textId="77777777" w:rsidR="002117B2" w:rsidRDefault="00616284">
            <w:pPr>
              <w:spacing w:before="40" w:after="40"/>
              <w:ind w:left="100" w:right="100"/>
              <w:jc w:val="right"/>
            </w:pPr>
            <w:r>
              <w:rPr>
                <w:rFonts w:ascii="Calibri" w:eastAsia="Calibri" w:hAnsi="Calibri" w:cs="Calibri"/>
                <w:color w:val="111111"/>
                <w:sz w:val="18"/>
                <w:szCs w:val="18"/>
              </w:rPr>
              <w:t>1.103</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549E78" w14:textId="77777777" w:rsidR="002117B2" w:rsidRDefault="00616284">
            <w:pPr>
              <w:spacing w:before="40" w:after="40"/>
              <w:ind w:left="100" w:right="100"/>
              <w:jc w:val="right"/>
            </w:pPr>
            <w:r>
              <w:rPr>
                <w:rFonts w:ascii="Calibri" w:eastAsia="Calibri" w:hAnsi="Calibri" w:cs="Calibri"/>
                <w:color w:val="111111"/>
                <w:sz w:val="18"/>
                <w:szCs w:val="18"/>
              </w:rPr>
              <w:t>1.202</w:t>
            </w:r>
          </w:p>
        </w:tc>
      </w:tr>
      <w:tr w:rsidR="002117B2" w14:paraId="4B2DA7A8"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BAA8E3" w14:textId="77777777" w:rsidR="002117B2" w:rsidRDefault="00616284">
            <w:pPr>
              <w:spacing w:before="40" w:after="40"/>
              <w:ind w:left="100" w:right="100"/>
            </w:pPr>
            <w:r>
              <w:rPr>
                <w:rFonts w:ascii="Calibri" w:eastAsia="Calibri" w:hAnsi="Calibri" w:cs="Calibri"/>
                <w:color w:val="111111"/>
                <w:sz w:val="18"/>
                <w:szCs w:val="18"/>
              </w:rPr>
              <w:t>3B3 Manure Management - Swine</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EDF824" w14:textId="77777777" w:rsidR="002117B2" w:rsidRDefault="00616284">
            <w:pPr>
              <w:spacing w:before="40" w:after="40"/>
              <w:ind w:left="100" w:right="100"/>
            </w:pPr>
            <w:r>
              <w:rPr>
                <w:rFonts w:ascii="Calibri" w:eastAsia="Calibri" w:hAnsi="Calibri" w:cs="Calibri"/>
                <w:color w:val="111111"/>
                <w:sz w:val="18"/>
                <w:szCs w:val="18"/>
              </w:rPr>
              <w:t>LT-3B3-2020-0001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55314F" w14:textId="77777777" w:rsidR="002117B2" w:rsidRDefault="00616284">
            <w:pPr>
              <w:spacing w:before="40" w:after="40"/>
              <w:ind w:left="100" w:right="100"/>
              <w:jc w:val="right"/>
            </w:pPr>
            <w:r>
              <w:rPr>
                <w:rFonts w:ascii="Calibri" w:eastAsia="Calibri" w:hAnsi="Calibri" w:cs="Calibri"/>
                <w:color w:val="111111"/>
                <w:sz w:val="18"/>
                <w:szCs w:val="18"/>
              </w:rPr>
              <w:t>0.990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5147F6" w14:textId="77777777" w:rsidR="002117B2" w:rsidRDefault="00616284">
            <w:pPr>
              <w:spacing w:before="40" w:after="40"/>
              <w:ind w:left="100" w:right="100"/>
              <w:jc w:val="right"/>
            </w:pPr>
            <w:r>
              <w:rPr>
                <w:rFonts w:ascii="Calibri" w:eastAsia="Calibri" w:hAnsi="Calibri" w:cs="Calibri"/>
                <w:color w:val="111111"/>
                <w:sz w:val="18"/>
                <w:szCs w:val="18"/>
              </w:rPr>
              <w:t>0.744</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42A546" w14:textId="77777777" w:rsidR="002117B2" w:rsidRDefault="00616284">
            <w:pPr>
              <w:spacing w:before="40" w:after="40"/>
              <w:ind w:left="100" w:right="100"/>
              <w:jc w:val="right"/>
            </w:pPr>
            <w:r>
              <w:rPr>
                <w:rFonts w:ascii="Calibri" w:eastAsia="Calibri" w:hAnsi="Calibri" w:cs="Calibri"/>
                <w:color w:val="111111"/>
                <w:sz w:val="18"/>
                <w:szCs w:val="18"/>
              </w:rPr>
              <w:t>0.592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CB4066" w14:textId="77777777" w:rsidR="002117B2" w:rsidRDefault="00616284">
            <w:pPr>
              <w:spacing w:before="40" w:after="40"/>
              <w:ind w:left="100" w:right="100"/>
              <w:jc w:val="right"/>
            </w:pPr>
            <w:r>
              <w:rPr>
                <w:rFonts w:ascii="Calibri" w:eastAsia="Calibri" w:hAnsi="Calibri" w:cs="Calibri"/>
                <w:color w:val="111111"/>
                <w:sz w:val="18"/>
                <w:szCs w:val="18"/>
              </w:rPr>
              <w:t>0.592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727E51" w14:textId="77777777" w:rsidR="002117B2" w:rsidRDefault="00616284">
            <w:pPr>
              <w:spacing w:before="40" w:after="40"/>
              <w:ind w:left="100" w:right="100"/>
              <w:jc w:val="right"/>
            </w:pPr>
            <w:r>
              <w:rPr>
                <w:rFonts w:ascii="Calibri" w:eastAsia="Calibri" w:hAnsi="Calibri" w:cs="Calibri"/>
                <w:color w:val="111111"/>
                <w:sz w:val="18"/>
                <w:szCs w:val="18"/>
              </w:rPr>
              <w:t>0.553</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64CD88" w14:textId="77777777" w:rsidR="002117B2" w:rsidRDefault="00616284">
            <w:pPr>
              <w:spacing w:before="40" w:after="40"/>
              <w:ind w:left="100" w:right="100"/>
              <w:jc w:val="right"/>
            </w:pPr>
            <w:r>
              <w:rPr>
                <w:rFonts w:ascii="Calibri" w:eastAsia="Calibri" w:hAnsi="Calibri" w:cs="Calibri"/>
                <w:color w:val="111111"/>
                <w:sz w:val="18"/>
                <w:szCs w:val="18"/>
              </w:rPr>
              <w:t>0.500</w:t>
            </w:r>
          </w:p>
        </w:tc>
      </w:tr>
      <w:tr w:rsidR="002117B2" w14:paraId="729517B4"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85BC49" w14:textId="77777777" w:rsidR="002117B2" w:rsidRDefault="00616284">
            <w:pPr>
              <w:spacing w:before="40" w:after="40"/>
              <w:ind w:left="100" w:right="100"/>
            </w:pPr>
            <w:r>
              <w:rPr>
                <w:rFonts w:ascii="Calibri" w:eastAsia="Calibri" w:hAnsi="Calibri" w:cs="Calibri"/>
                <w:b/>
                <w:color w:val="111111"/>
                <w:sz w:val="18"/>
                <w:szCs w:val="18"/>
              </w:rPr>
              <w:t>Difference between original estimate and technical correction deemed necessary by the TERT</w:t>
            </w:r>
          </w:p>
        </w:tc>
      </w:tr>
      <w:tr w:rsidR="002117B2" w14:paraId="6299403A"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BB56C4" w14:textId="77777777" w:rsidR="002117B2" w:rsidRDefault="00616284">
            <w:pPr>
              <w:spacing w:before="40" w:after="40"/>
              <w:ind w:left="100" w:right="100"/>
            </w:pPr>
            <w:r>
              <w:rPr>
                <w:rFonts w:ascii="Calibri" w:eastAsia="Calibri" w:hAnsi="Calibri" w:cs="Calibri"/>
                <w:color w:val="111111"/>
                <w:sz w:val="18"/>
                <w:szCs w:val="18"/>
              </w:rPr>
              <w:t>3B1b Manure Management - Non-Dairy Cattle</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FC7925" w14:textId="77777777" w:rsidR="002117B2" w:rsidRDefault="00616284">
            <w:pPr>
              <w:spacing w:before="40" w:after="40"/>
              <w:ind w:left="100" w:right="100"/>
            </w:pPr>
            <w:r>
              <w:rPr>
                <w:rFonts w:ascii="Calibri" w:eastAsia="Calibri" w:hAnsi="Calibri" w:cs="Calibri"/>
                <w:color w:val="111111"/>
                <w:sz w:val="18"/>
                <w:szCs w:val="18"/>
              </w:rPr>
              <w:t>LT-3B1b-2020-0001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C02F0D" w14:textId="77777777" w:rsidR="002117B2" w:rsidRDefault="00616284">
            <w:pPr>
              <w:spacing w:before="40" w:after="40"/>
              <w:ind w:left="100" w:right="100"/>
              <w:jc w:val="right"/>
            </w:pPr>
            <w:r>
              <w:rPr>
                <w:rFonts w:ascii="Calibri" w:eastAsia="Calibri" w:hAnsi="Calibri" w:cs="Calibri"/>
                <w:color w:val="111111"/>
                <w:sz w:val="18"/>
                <w:szCs w:val="18"/>
              </w:rPr>
              <w:t>0.930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D9B873" w14:textId="77777777" w:rsidR="002117B2" w:rsidRDefault="00616284">
            <w:pPr>
              <w:spacing w:before="40" w:after="40"/>
              <w:ind w:left="100" w:right="100"/>
              <w:jc w:val="right"/>
            </w:pPr>
            <w:r>
              <w:rPr>
                <w:rFonts w:ascii="Calibri" w:eastAsia="Calibri" w:hAnsi="Calibri" w:cs="Calibri"/>
                <w:color w:val="111111"/>
                <w:sz w:val="18"/>
                <w:szCs w:val="18"/>
              </w:rPr>
              <w:t>1.059</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85EC7F" w14:textId="77777777" w:rsidR="002117B2" w:rsidRDefault="00616284">
            <w:pPr>
              <w:spacing w:before="40" w:after="40"/>
              <w:ind w:left="100" w:right="100"/>
              <w:jc w:val="right"/>
            </w:pPr>
            <w:r>
              <w:rPr>
                <w:rFonts w:ascii="Calibri" w:eastAsia="Calibri" w:hAnsi="Calibri" w:cs="Calibri"/>
                <w:color w:val="111111"/>
                <w:sz w:val="18"/>
                <w:szCs w:val="18"/>
              </w:rPr>
              <w:t>1.263</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CE7A03" w14:textId="77777777" w:rsidR="002117B2" w:rsidRDefault="00616284">
            <w:pPr>
              <w:spacing w:before="40" w:after="40"/>
              <w:ind w:left="100" w:right="100"/>
              <w:jc w:val="right"/>
            </w:pPr>
            <w:r>
              <w:rPr>
                <w:rFonts w:ascii="Calibri" w:eastAsia="Calibri" w:hAnsi="Calibri" w:cs="Calibri"/>
                <w:color w:val="111111"/>
                <w:sz w:val="18"/>
                <w:szCs w:val="18"/>
              </w:rPr>
              <w:t>1.273</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2B8F91" w14:textId="77777777" w:rsidR="002117B2" w:rsidRDefault="00616284">
            <w:pPr>
              <w:spacing w:before="40" w:after="40"/>
              <w:ind w:left="100" w:right="100"/>
              <w:jc w:val="right"/>
            </w:pPr>
            <w:r>
              <w:rPr>
                <w:rFonts w:ascii="Calibri" w:eastAsia="Calibri" w:hAnsi="Calibri" w:cs="Calibri"/>
                <w:color w:val="111111"/>
                <w:sz w:val="18"/>
                <w:szCs w:val="18"/>
              </w:rPr>
              <w:t>1.275</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2F9CA4" w14:textId="77777777" w:rsidR="002117B2" w:rsidRDefault="00616284">
            <w:pPr>
              <w:spacing w:before="40" w:after="40"/>
              <w:ind w:left="100" w:right="100"/>
              <w:jc w:val="right"/>
            </w:pPr>
            <w:r>
              <w:rPr>
                <w:rFonts w:ascii="Calibri" w:eastAsia="Calibri" w:hAnsi="Calibri" w:cs="Calibri"/>
                <w:color w:val="111111"/>
                <w:sz w:val="18"/>
                <w:szCs w:val="18"/>
              </w:rPr>
              <w:t>1.304</w:t>
            </w:r>
          </w:p>
        </w:tc>
      </w:tr>
      <w:tr w:rsidR="002117B2" w14:paraId="72DBE1EF"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C41EC8E" w14:textId="77777777" w:rsidR="002117B2" w:rsidRDefault="00616284">
            <w:pPr>
              <w:spacing w:before="40" w:after="40"/>
              <w:ind w:left="100" w:right="100"/>
            </w:pPr>
            <w:r>
              <w:rPr>
                <w:rFonts w:ascii="Calibri" w:eastAsia="Calibri" w:hAnsi="Calibri" w:cs="Calibri"/>
                <w:color w:val="111111"/>
                <w:sz w:val="18"/>
                <w:szCs w:val="18"/>
              </w:rPr>
              <w:t>National total (row 141) including revised estimates and technical corrections accepted by Lithuania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81CC43F" w14:textId="77777777" w:rsidR="002117B2" w:rsidRDefault="00616284">
            <w:pPr>
              <w:spacing w:before="40" w:after="40"/>
              <w:ind w:left="100" w:right="100"/>
              <w:jc w:val="right"/>
            </w:pPr>
            <w:r>
              <w:rPr>
                <w:rFonts w:ascii="Calibri" w:eastAsia="Calibri" w:hAnsi="Calibri" w:cs="Calibri"/>
                <w:color w:val="111111"/>
                <w:sz w:val="18"/>
                <w:szCs w:val="18"/>
              </w:rPr>
              <w:t>40.593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2A19BBA" w14:textId="77777777" w:rsidR="002117B2" w:rsidRDefault="00616284">
            <w:pPr>
              <w:spacing w:before="40" w:after="40"/>
              <w:ind w:left="100" w:right="100"/>
              <w:jc w:val="right"/>
            </w:pPr>
            <w:r>
              <w:rPr>
                <w:rFonts w:ascii="Calibri" w:eastAsia="Calibri" w:hAnsi="Calibri" w:cs="Calibri"/>
                <w:color w:val="111111"/>
                <w:sz w:val="18"/>
                <w:szCs w:val="18"/>
              </w:rPr>
              <w:t>39.883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CDFE559" w14:textId="77777777" w:rsidR="002117B2" w:rsidRDefault="00616284">
            <w:pPr>
              <w:spacing w:before="40" w:after="40"/>
              <w:ind w:left="100" w:right="100"/>
              <w:jc w:val="right"/>
            </w:pPr>
            <w:r>
              <w:rPr>
                <w:rFonts w:ascii="Calibri" w:eastAsia="Calibri" w:hAnsi="Calibri" w:cs="Calibri"/>
                <w:color w:val="111111"/>
                <w:sz w:val="18"/>
                <w:szCs w:val="18"/>
              </w:rPr>
              <w:t>42.004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46E3259" w14:textId="77777777" w:rsidR="002117B2" w:rsidRDefault="00616284">
            <w:pPr>
              <w:spacing w:before="40" w:after="40"/>
              <w:ind w:left="100" w:right="100"/>
              <w:jc w:val="right"/>
            </w:pPr>
            <w:r>
              <w:rPr>
                <w:rFonts w:ascii="Calibri" w:eastAsia="Calibri" w:hAnsi="Calibri" w:cs="Calibri"/>
                <w:color w:val="111111"/>
                <w:sz w:val="18"/>
                <w:szCs w:val="18"/>
              </w:rPr>
              <w:t>41.342</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28E2E7B" w14:textId="77777777" w:rsidR="002117B2" w:rsidRDefault="00616284">
            <w:pPr>
              <w:spacing w:before="40" w:after="40"/>
              <w:ind w:left="100" w:right="100"/>
              <w:jc w:val="right"/>
            </w:pPr>
            <w:r>
              <w:rPr>
                <w:rFonts w:ascii="Calibri" w:eastAsia="Calibri" w:hAnsi="Calibri" w:cs="Calibri"/>
                <w:color w:val="111111"/>
                <w:sz w:val="18"/>
                <w:szCs w:val="18"/>
              </w:rPr>
              <w:t>42.294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399EB11" w14:textId="77777777" w:rsidR="002117B2" w:rsidRDefault="00616284">
            <w:pPr>
              <w:spacing w:before="40" w:after="40"/>
              <w:ind w:left="100" w:right="100"/>
              <w:jc w:val="right"/>
            </w:pPr>
            <w:r>
              <w:rPr>
                <w:rFonts w:ascii="Calibri" w:eastAsia="Calibri" w:hAnsi="Calibri" w:cs="Calibri"/>
                <w:color w:val="111111"/>
                <w:sz w:val="18"/>
                <w:szCs w:val="18"/>
              </w:rPr>
              <w:t>41.895</w:t>
            </w:r>
          </w:p>
        </w:tc>
      </w:tr>
      <w:tr w:rsidR="002117B2" w14:paraId="5D7E39E2"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8778A47" w14:textId="4AD5C4F4"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 estimate including revised estimates, technical corrections accepted by Lithuania and adjustments recommended (by technical expert review team) to be accepted by EC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D00BAC2" w14:textId="77777777" w:rsidR="002117B2" w:rsidRDefault="00616284">
            <w:pPr>
              <w:spacing w:before="40" w:after="40"/>
              <w:ind w:left="100" w:right="100"/>
              <w:jc w:val="right"/>
            </w:pPr>
            <w:r>
              <w:rPr>
                <w:rFonts w:ascii="Calibri" w:eastAsia="Calibri" w:hAnsi="Calibri" w:cs="Calibri"/>
                <w:color w:val="111111"/>
                <w:sz w:val="18"/>
                <w:szCs w:val="18"/>
              </w:rPr>
              <w:t>40.593</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0096CC8" w14:textId="77777777" w:rsidR="002117B2" w:rsidRDefault="00616284">
            <w:pPr>
              <w:spacing w:before="40" w:after="40"/>
              <w:ind w:left="100" w:right="100"/>
              <w:jc w:val="right"/>
            </w:pPr>
            <w:r>
              <w:rPr>
                <w:rFonts w:ascii="Calibri" w:eastAsia="Calibri" w:hAnsi="Calibri" w:cs="Calibri"/>
                <w:color w:val="111111"/>
                <w:sz w:val="18"/>
                <w:szCs w:val="18"/>
              </w:rPr>
              <w:t>39.883</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49F195C" w14:textId="77777777" w:rsidR="002117B2" w:rsidRDefault="00616284">
            <w:pPr>
              <w:spacing w:before="40" w:after="40"/>
              <w:ind w:left="100" w:right="100"/>
              <w:jc w:val="right"/>
            </w:pPr>
            <w:r>
              <w:rPr>
                <w:rFonts w:ascii="Calibri" w:eastAsia="Calibri" w:hAnsi="Calibri" w:cs="Calibri"/>
                <w:color w:val="111111"/>
                <w:sz w:val="18"/>
                <w:szCs w:val="18"/>
              </w:rPr>
              <w:t>42.004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69CBD0F" w14:textId="77777777" w:rsidR="002117B2" w:rsidRDefault="00616284">
            <w:pPr>
              <w:spacing w:before="40" w:after="40"/>
              <w:ind w:left="100" w:right="100"/>
              <w:jc w:val="right"/>
            </w:pPr>
            <w:r>
              <w:rPr>
                <w:rFonts w:ascii="Calibri" w:eastAsia="Calibri" w:hAnsi="Calibri" w:cs="Calibri"/>
                <w:color w:val="111111"/>
                <w:sz w:val="18"/>
                <w:szCs w:val="18"/>
              </w:rPr>
              <w:t>41.342</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60DABBC" w14:textId="77777777" w:rsidR="002117B2" w:rsidRDefault="00616284">
            <w:pPr>
              <w:spacing w:before="40" w:after="40"/>
              <w:ind w:left="100" w:right="100"/>
              <w:jc w:val="right"/>
            </w:pPr>
            <w:r>
              <w:rPr>
                <w:rFonts w:ascii="Calibri" w:eastAsia="Calibri" w:hAnsi="Calibri" w:cs="Calibri"/>
                <w:color w:val="111111"/>
                <w:sz w:val="18"/>
                <w:szCs w:val="18"/>
              </w:rPr>
              <w:t>42.294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582297C" w14:textId="77777777" w:rsidR="002117B2" w:rsidRDefault="00616284">
            <w:pPr>
              <w:spacing w:before="40" w:after="40"/>
              <w:ind w:left="100" w:right="100"/>
              <w:jc w:val="right"/>
            </w:pPr>
            <w:r>
              <w:rPr>
                <w:rFonts w:ascii="Calibri" w:eastAsia="Calibri" w:hAnsi="Calibri" w:cs="Calibri"/>
                <w:color w:val="111111"/>
                <w:sz w:val="18"/>
                <w:szCs w:val="18"/>
              </w:rPr>
              <w:t>41.895</w:t>
            </w:r>
          </w:p>
        </w:tc>
      </w:tr>
      <w:tr w:rsidR="002117B2" w14:paraId="75B70AA2"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4E7F8A03" w14:textId="77777777" w:rsidR="002117B2" w:rsidRDefault="00616284">
            <w:pPr>
              <w:spacing w:before="40" w:after="40"/>
              <w:ind w:left="100" w:right="100"/>
            </w:pPr>
            <w:r>
              <w:rPr>
                <w:rFonts w:ascii="Calibri" w:eastAsia="Calibri" w:hAnsi="Calibri" w:cs="Calibri"/>
                <w:color w:val="111111"/>
                <w:sz w:val="18"/>
                <w:szCs w:val="18"/>
              </w:rPr>
              <w:t>2010 National Emission Ceiling</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0DDE790C" w14:textId="77777777" w:rsidR="002117B2" w:rsidRDefault="00616284">
            <w:pPr>
              <w:spacing w:before="40" w:after="40"/>
              <w:ind w:left="100" w:right="100"/>
              <w:jc w:val="right"/>
            </w:pPr>
            <w:r>
              <w:rPr>
                <w:rFonts w:ascii="Calibri" w:eastAsia="Calibri" w:hAnsi="Calibri" w:cs="Calibri"/>
                <w:color w:val="111111"/>
                <w:sz w:val="18"/>
                <w:szCs w:val="18"/>
              </w:rPr>
              <w:t>n/a</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2AD680AD" w14:textId="77777777" w:rsidR="002117B2" w:rsidRDefault="00616284">
            <w:pPr>
              <w:spacing w:before="40" w:after="40"/>
              <w:ind w:left="100" w:right="100"/>
              <w:jc w:val="right"/>
            </w:pPr>
            <w:r>
              <w:rPr>
                <w:rFonts w:ascii="Calibri" w:eastAsia="Calibri" w:hAnsi="Calibri" w:cs="Calibri"/>
                <w:color w:val="111111"/>
                <w:sz w:val="18"/>
                <w:szCs w:val="18"/>
              </w:rPr>
              <w:t>84.000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021332FC" w14:textId="77777777" w:rsidR="002117B2" w:rsidRDefault="00616284">
            <w:pPr>
              <w:spacing w:before="40" w:after="40"/>
              <w:ind w:left="100" w:right="100"/>
              <w:jc w:val="right"/>
            </w:pPr>
            <w:r>
              <w:rPr>
                <w:rFonts w:ascii="Calibri" w:eastAsia="Calibri" w:hAnsi="Calibri" w:cs="Calibri"/>
                <w:color w:val="111111"/>
                <w:sz w:val="18"/>
                <w:szCs w:val="18"/>
              </w:rPr>
              <w:t>84.000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3597A19F" w14:textId="77777777" w:rsidR="002117B2" w:rsidRDefault="00616284">
            <w:pPr>
              <w:spacing w:before="40" w:after="40"/>
              <w:ind w:left="100" w:right="100"/>
              <w:jc w:val="right"/>
            </w:pPr>
            <w:r>
              <w:rPr>
                <w:rFonts w:ascii="Calibri" w:eastAsia="Calibri" w:hAnsi="Calibri" w:cs="Calibri"/>
                <w:color w:val="111111"/>
                <w:sz w:val="18"/>
                <w:szCs w:val="18"/>
              </w:rPr>
              <w:t>84.000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152033D2" w14:textId="77777777" w:rsidR="002117B2" w:rsidRDefault="00616284">
            <w:pPr>
              <w:spacing w:before="40" w:after="40"/>
              <w:ind w:left="100" w:right="100"/>
              <w:jc w:val="right"/>
            </w:pPr>
            <w:r>
              <w:rPr>
                <w:rFonts w:ascii="Calibri" w:eastAsia="Calibri" w:hAnsi="Calibri" w:cs="Calibri"/>
                <w:color w:val="111111"/>
                <w:sz w:val="18"/>
                <w:szCs w:val="18"/>
              </w:rPr>
              <w:t>84.000</w:t>
            </w:r>
          </w:p>
        </w:tc>
        <w:tc>
          <w:tcPr>
            <w:tcW w:w="864" w:type="dxa"/>
            <w:tcBorders>
              <w:top w:val="single" w:sz="8" w:space="0" w:color="000000"/>
              <w:left w:val="single" w:sz="8" w:space="0" w:color="000000"/>
              <w:bottom w:val="single" w:sz="8" w:space="0" w:color="000000"/>
              <w:right w:val="single" w:sz="8" w:space="0" w:color="000000"/>
            </w:tcBorders>
            <w:shd w:val="clear" w:color="auto" w:fill="FFE599"/>
            <w:tcMar>
              <w:top w:w="0" w:type="dxa"/>
              <w:left w:w="0" w:type="dxa"/>
              <w:bottom w:w="0" w:type="dxa"/>
              <w:right w:w="0" w:type="dxa"/>
            </w:tcMar>
            <w:vAlign w:val="center"/>
          </w:tcPr>
          <w:p w14:paraId="0F70CEB7" w14:textId="77777777" w:rsidR="002117B2" w:rsidRDefault="00616284">
            <w:pPr>
              <w:spacing w:before="40" w:after="40"/>
              <w:ind w:left="100" w:right="100"/>
              <w:jc w:val="right"/>
            </w:pPr>
            <w:r>
              <w:rPr>
                <w:rFonts w:ascii="Calibri" w:eastAsia="Calibri" w:hAnsi="Calibri" w:cs="Calibri"/>
                <w:color w:val="111111"/>
                <w:sz w:val="18"/>
                <w:szCs w:val="18"/>
              </w:rPr>
              <w:t>84.000</w:t>
            </w:r>
          </w:p>
        </w:tc>
      </w:tr>
      <w:tr w:rsidR="002117B2" w14:paraId="04C6B537"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0A1FE5FC" w14:textId="3F13764E" w:rsidR="002117B2" w:rsidRDefault="00616284">
            <w:pPr>
              <w:spacing w:before="40" w:after="40"/>
              <w:ind w:left="100" w:right="100"/>
            </w:pPr>
            <w:r w:rsidRPr="00616284">
              <w:rPr>
                <w:rFonts w:ascii="Calibri" w:eastAsia="Calibri" w:hAnsi="Calibri" w:cs="Calibri"/>
                <w:b/>
                <w:color w:val="111111"/>
                <w:sz w:val="18"/>
                <w:szCs w:val="18"/>
              </w:rPr>
              <w:t>PM</w:t>
            </w:r>
            <w:r w:rsidRPr="00616284">
              <w:rPr>
                <w:rFonts w:ascii="Calibri" w:eastAsia="Calibri" w:hAnsi="Calibri" w:cs="Calibri"/>
                <w:b/>
                <w:color w:val="111111"/>
                <w:sz w:val="18"/>
                <w:szCs w:val="18"/>
                <w:vertAlign w:val="subscript"/>
              </w:rPr>
              <w:t>2.5</w:t>
            </w:r>
          </w:p>
        </w:tc>
      </w:tr>
      <w:tr w:rsidR="002117B2" w14:paraId="30C08347"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622A917"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ABDB458" w14:textId="77777777" w:rsidR="002117B2" w:rsidRDefault="00616284">
            <w:pPr>
              <w:spacing w:before="40" w:after="40"/>
              <w:ind w:left="100" w:right="100"/>
            </w:pPr>
            <w:r>
              <w:rPr>
                <w:rFonts w:ascii="Calibri" w:eastAsia="Calibri" w:hAnsi="Calibri" w:cs="Calibri"/>
                <w:color w:val="111111"/>
                <w:sz w:val="18"/>
                <w:szCs w:val="18"/>
              </w:rPr>
              <w:t>Annex I, 25/02/2020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ABC5768" w14:textId="77777777" w:rsidR="002117B2" w:rsidRDefault="00616284">
            <w:pPr>
              <w:spacing w:before="40" w:after="40"/>
              <w:ind w:left="100" w:right="100"/>
              <w:jc w:val="right"/>
            </w:pPr>
            <w:r>
              <w:rPr>
                <w:rFonts w:ascii="Calibri" w:eastAsia="Calibri" w:hAnsi="Calibri" w:cs="Calibri"/>
                <w:color w:val="111111"/>
                <w:sz w:val="18"/>
                <w:szCs w:val="18"/>
              </w:rPr>
              <w:t>9.225</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671F68B" w14:textId="77777777" w:rsidR="002117B2" w:rsidRDefault="00616284">
            <w:pPr>
              <w:spacing w:before="40" w:after="40"/>
              <w:ind w:left="100" w:right="100"/>
              <w:jc w:val="right"/>
            </w:pPr>
            <w:r>
              <w:rPr>
                <w:rFonts w:ascii="Calibri" w:eastAsia="Calibri" w:hAnsi="Calibri" w:cs="Calibri"/>
                <w:color w:val="111111"/>
                <w:sz w:val="18"/>
                <w:szCs w:val="18"/>
              </w:rPr>
              <w:t>7.851</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D0BEA18" w14:textId="77777777" w:rsidR="002117B2" w:rsidRDefault="00616284">
            <w:pPr>
              <w:spacing w:before="40" w:after="40"/>
              <w:ind w:left="100" w:right="100"/>
              <w:jc w:val="right"/>
            </w:pPr>
            <w:r>
              <w:rPr>
                <w:rFonts w:ascii="Calibri" w:eastAsia="Calibri" w:hAnsi="Calibri" w:cs="Calibri"/>
                <w:color w:val="111111"/>
                <w:sz w:val="18"/>
                <w:szCs w:val="18"/>
              </w:rPr>
              <w:t>5.484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D206C04" w14:textId="77777777" w:rsidR="002117B2" w:rsidRDefault="00616284">
            <w:pPr>
              <w:spacing w:before="40" w:after="40"/>
              <w:ind w:left="100" w:right="100"/>
              <w:jc w:val="right"/>
            </w:pPr>
            <w:r>
              <w:rPr>
                <w:rFonts w:ascii="Calibri" w:eastAsia="Calibri" w:hAnsi="Calibri" w:cs="Calibri"/>
                <w:color w:val="111111"/>
                <w:sz w:val="18"/>
                <w:szCs w:val="18"/>
              </w:rPr>
              <w:t>5.413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FDCB25E" w14:textId="77777777" w:rsidR="002117B2" w:rsidRDefault="00616284">
            <w:pPr>
              <w:spacing w:before="40" w:after="40"/>
              <w:ind w:left="100" w:right="100"/>
              <w:jc w:val="right"/>
            </w:pPr>
            <w:r>
              <w:rPr>
                <w:rFonts w:ascii="Calibri" w:eastAsia="Calibri" w:hAnsi="Calibri" w:cs="Calibri"/>
                <w:color w:val="111111"/>
                <w:sz w:val="18"/>
                <w:szCs w:val="18"/>
              </w:rPr>
              <w:t>6.014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0B37C9D" w14:textId="77777777" w:rsidR="002117B2" w:rsidRDefault="00616284">
            <w:pPr>
              <w:spacing w:before="40" w:after="40"/>
              <w:ind w:left="100" w:right="100"/>
              <w:jc w:val="right"/>
            </w:pPr>
            <w:r>
              <w:rPr>
                <w:rFonts w:ascii="Calibri" w:eastAsia="Calibri" w:hAnsi="Calibri" w:cs="Calibri"/>
                <w:color w:val="111111"/>
                <w:sz w:val="18"/>
                <w:szCs w:val="18"/>
              </w:rPr>
              <w:t>5.784</w:t>
            </w:r>
          </w:p>
        </w:tc>
      </w:tr>
      <w:tr w:rsidR="002117B2" w14:paraId="04CA1BCC"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4791887" w14:textId="22BB3673"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4AED5CD" w14:textId="77777777" w:rsidR="002117B2" w:rsidRDefault="00616284">
            <w:pPr>
              <w:spacing w:before="40" w:after="40"/>
              <w:ind w:left="100" w:right="100"/>
            </w:pPr>
            <w:r>
              <w:rPr>
                <w:rFonts w:ascii="Calibri" w:eastAsia="Calibri" w:hAnsi="Calibri" w:cs="Calibri"/>
                <w:color w:val="111111"/>
                <w:sz w:val="18"/>
                <w:szCs w:val="18"/>
              </w:rPr>
              <w:t>Annex I, 25/02/2020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24CDC63" w14:textId="77777777" w:rsidR="002117B2" w:rsidRDefault="00616284">
            <w:pPr>
              <w:spacing w:before="40" w:after="40"/>
              <w:ind w:left="100" w:right="100"/>
              <w:jc w:val="right"/>
            </w:pPr>
            <w:r>
              <w:rPr>
                <w:rFonts w:ascii="Calibri" w:eastAsia="Calibri" w:hAnsi="Calibri" w:cs="Calibri"/>
                <w:color w:val="111111"/>
                <w:sz w:val="18"/>
                <w:szCs w:val="18"/>
              </w:rPr>
              <w:t>9.225</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9AF7D4F" w14:textId="77777777" w:rsidR="002117B2" w:rsidRDefault="00616284">
            <w:pPr>
              <w:spacing w:before="40" w:after="40"/>
              <w:ind w:left="100" w:right="100"/>
              <w:jc w:val="right"/>
            </w:pPr>
            <w:r>
              <w:rPr>
                <w:rFonts w:ascii="Calibri" w:eastAsia="Calibri" w:hAnsi="Calibri" w:cs="Calibri"/>
                <w:color w:val="111111"/>
                <w:sz w:val="18"/>
                <w:szCs w:val="18"/>
              </w:rPr>
              <w:t>7.851</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C671425" w14:textId="77777777" w:rsidR="002117B2" w:rsidRDefault="00616284">
            <w:pPr>
              <w:spacing w:before="40" w:after="40"/>
              <w:ind w:left="100" w:right="100"/>
              <w:jc w:val="right"/>
            </w:pPr>
            <w:r>
              <w:rPr>
                <w:rFonts w:ascii="Calibri" w:eastAsia="Calibri" w:hAnsi="Calibri" w:cs="Calibri"/>
                <w:color w:val="111111"/>
                <w:sz w:val="18"/>
                <w:szCs w:val="18"/>
              </w:rPr>
              <w:t>5.484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97C9E1E" w14:textId="77777777" w:rsidR="002117B2" w:rsidRDefault="00616284">
            <w:pPr>
              <w:spacing w:before="40" w:after="40"/>
              <w:ind w:left="100" w:right="100"/>
              <w:jc w:val="right"/>
            </w:pPr>
            <w:r>
              <w:rPr>
                <w:rFonts w:ascii="Calibri" w:eastAsia="Calibri" w:hAnsi="Calibri" w:cs="Calibri"/>
                <w:color w:val="111111"/>
                <w:sz w:val="18"/>
                <w:szCs w:val="18"/>
              </w:rPr>
              <w:t>5.413</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CCAB419" w14:textId="77777777" w:rsidR="002117B2" w:rsidRDefault="00616284">
            <w:pPr>
              <w:spacing w:before="40" w:after="40"/>
              <w:ind w:left="100" w:right="100"/>
              <w:jc w:val="right"/>
            </w:pPr>
            <w:r>
              <w:rPr>
                <w:rFonts w:ascii="Calibri" w:eastAsia="Calibri" w:hAnsi="Calibri" w:cs="Calibri"/>
                <w:color w:val="111111"/>
                <w:sz w:val="18"/>
                <w:szCs w:val="18"/>
              </w:rPr>
              <w:t>6.014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76BFCB1" w14:textId="77777777" w:rsidR="002117B2" w:rsidRDefault="00616284">
            <w:pPr>
              <w:spacing w:before="40" w:after="40"/>
              <w:ind w:left="100" w:right="100"/>
              <w:jc w:val="right"/>
            </w:pPr>
            <w:r>
              <w:rPr>
                <w:rFonts w:ascii="Calibri" w:eastAsia="Calibri" w:hAnsi="Calibri" w:cs="Calibri"/>
                <w:color w:val="111111"/>
                <w:sz w:val="18"/>
                <w:szCs w:val="18"/>
              </w:rPr>
              <w:t>5.784</w:t>
            </w:r>
          </w:p>
        </w:tc>
      </w:tr>
      <w:tr w:rsidR="002117B2" w14:paraId="05837B7A"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992093" w14:textId="77777777" w:rsidR="002117B2" w:rsidRDefault="00616284">
            <w:pPr>
              <w:spacing w:before="40" w:after="40"/>
              <w:ind w:left="100" w:right="100"/>
            </w:pPr>
            <w:r>
              <w:rPr>
                <w:rFonts w:ascii="Calibri" w:eastAsia="Calibri" w:hAnsi="Calibri" w:cs="Calibri"/>
                <w:b/>
                <w:color w:val="111111"/>
                <w:sz w:val="18"/>
                <w:szCs w:val="18"/>
              </w:rPr>
              <w:t>Difference between original estimate and revised estimate provided by Lithuania and accepted by the TERT</w:t>
            </w:r>
          </w:p>
        </w:tc>
      </w:tr>
      <w:tr w:rsidR="002117B2" w14:paraId="751EBF57"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24A328" w14:textId="77777777" w:rsidR="002117B2" w:rsidRDefault="00616284">
            <w:pPr>
              <w:spacing w:before="40" w:after="40"/>
              <w:ind w:left="100" w:right="100"/>
            </w:pPr>
            <w:r>
              <w:rPr>
                <w:rFonts w:ascii="Calibri" w:eastAsia="Calibri" w:hAnsi="Calibri" w:cs="Calibri"/>
                <w:color w:val="111111"/>
                <w:sz w:val="18"/>
                <w:szCs w:val="18"/>
              </w:rPr>
              <w:t>1A3ei Pipeline Transport</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93F2F9" w14:textId="77777777" w:rsidR="002117B2" w:rsidRDefault="00616284">
            <w:pPr>
              <w:spacing w:before="40" w:after="40"/>
              <w:ind w:left="100" w:right="100"/>
            </w:pPr>
            <w:r>
              <w:rPr>
                <w:rFonts w:ascii="Calibri" w:eastAsia="Calibri" w:hAnsi="Calibri" w:cs="Calibri"/>
                <w:color w:val="111111"/>
                <w:sz w:val="18"/>
                <w:szCs w:val="18"/>
              </w:rPr>
              <w:t>LT-1A3ei-2017-0001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DD1233" w14:textId="77777777" w:rsidR="002117B2" w:rsidRDefault="00616284">
            <w:pPr>
              <w:spacing w:before="40" w:after="40"/>
              <w:ind w:left="100" w:right="100"/>
              <w:jc w:val="right"/>
            </w:pPr>
            <w:r>
              <w:rPr>
                <w:rFonts w:ascii="Calibri" w:eastAsia="Calibri" w:hAnsi="Calibri" w:cs="Calibri"/>
                <w:color w:val="111111"/>
                <w:sz w:val="18"/>
                <w:szCs w:val="18"/>
              </w:rPr>
              <w:t>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0FFCE8" w14:textId="77777777" w:rsidR="002117B2" w:rsidRDefault="00616284">
            <w:pPr>
              <w:spacing w:before="40" w:after="40"/>
              <w:ind w:left="100" w:right="100"/>
              <w:jc w:val="right"/>
            </w:pPr>
            <w:r>
              <w:rPr>
                <w:rFonts w:ascii="Calibri" w:eastAsia="Calibri" w:hAnsi="Calibri" w:cs="Calibri"/>
                <w:color w:val="111111"/>
                <w:sz w:val="18"/>
                <w:szCs w:val="18"/>
              </w:rPr>
              <w:t>0.002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66039B" w14:textId="77777777" w:rsidR="002117B2" w:rsidRDefault="00616284">
            <w:pPr>
              <w:spacing w:before="40" w:after="40"/>
              <w:ind w:left="100" w:right="100"/>
              <w:jc w:val="right"/>
            </w:pPr>
            <w:r>
              <w:rPr>
                <w:rFonts w:ascii="Calibri" w:eastAsia="Calibri" w:hAnsi="Calibri" w:cs="Calibri"/>
                <w:color w:val="111111"/>
                <w:sz w:val="18"/>
                <w:szCs w:val="18"/>
              </w:rPr>
              <w:t>0.002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A53B69" w14:textId="77777777" w:rsidR="002117B2" w:rsidRDefault="00616284">
            <w:pPr>
              <w:spacing w:before="40" w:after="40"/>
              <w:ind w:left="100" w:right="100"/>
              <w:jc w:val="right"/>
            </w:pPr>
            <w:r>
              <w:rPr>
                <w:rFonts w:ascii="Calibri" w:eastAsia="Calibri" w:hAnsi="Calibri" w:cs="Calibri"/>
                <w:color w:val="111111"/>
                <w:sz w:val="18"/>
                <w:szCs w:val="18"/>
              </w:rPr>
              <w:t>0.002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E4E669" w14:textId="77777777" w:rsidR="002117B2" w:rsidRDefault="00616284">
            <w:pPr>
              <w:spacing w:before="40" w:after="40"/>
              <w:ind w:left="100" w:right="100"/>
              <w:jc w:val="right"/>
            </w:pPr>
            <w:r>
              <w:rPr>
                <w:rFonts w:ascii="Calibri" w:eastAsia="Calibri" w:hAnsi="Calibri" w:cs="Calibri"/>
                <w:color w:val="111111"/>
                <w:sz w:val="18"/>
                <w:szCs w:val="18"/>
              </w:rPr>
              <w:t>0.002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683DFB" w14:textId="77777777" w:rsidR="002117B2" w:rsidRDefault="00616284">
            <w:pPr>
              <w:spacing w:before="40" w:after="40"/>
              <w:ind w:left="100" w:right="100"/>
              <w:jc w:val="right"/>
            </w:pPr>
            <w:r>
              <w:rPr>
                <w:rFonts w:ascii="Calibri" w:eastAsia="Calibri" w:hAnsi="Calibri" w:cs="Calibri"/>
                <w:color w:val="111111"/>
                <w:sz w:val="18"/>
                <w:szCs w:val="18"/>
              </w:rPr>
              <w:t>0.002</w:t>
            </w:r>
          </w:p>
        </w:tc>
      </w:tr>
      <w:tr w:rsidR="002117B2" w14:paraId="787A65D3"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9F61DE" w14:textId="77777777" w:rsidR="002117B2" w:rsidRDefault="00616284">
            <w:pPr>
              <w:spacing w:before="40" w:after="40"/>
              <w:ind w:left="100" w:right="100"/>
            </w:pPr>
            <w:r>
              <w:rPr>
                <w:rFonts w:ascii="Calibri" w:eastAsia="Calibri" w:hAnsi="Calibri" w:cs="Calibri"/>
                <w:b/>
                <w:color w:val="111111"/>
                <w:sz w:val="18"/>
                <w:szCs w:val="18"/>
              </w:rPr>
              <w:t>Difference between original estimate and technical correction deemed necessary by the TERT</w:t>
            </w:r>
          </w:p>
        </w:tc>
      </w:tr>
      <w:tr w:rsidR="002117B2" w14:paraId="5DCA7251"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A14A3D" w14:textId="77777777" w:rsidR="002117B2" w:rsidRDefault="00616284">
            <w:pPr>
              <w:spacing w:before="40" w:after="40"/>
              <w:ind w:left="100" w:right="100"/>
            </w:pPr>
            <w:r>
              <w:rPr>
                <w:rFonts w:ascii="Calibri" w:eastAsia="Calibri" w:hAnsi="Calibri" w:cs="Calibri"/>
                <w:color w:val="111111"/>
                <w:sz w:val="18"/>
                <w:szCs w:val="18"/>
              </w:rPr>
              <w:t>2A5b Construction and Demolition</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A9BFED" w14:textId="77777777" w:rsidR="002117B2" w:rsidRDefault="00616284">
            <w:pPr>
              <w:spacing w:before="40" w:after="40"/>
              <w:ind w:left="100" w:right="100"/>
            </w:pPr>
            <w:r>
              <w:rPr>
                <w:rFonts w:ascii="Calibri" w:eastAsia="Calibri" w:hAnsi="Calibri" w:cs="Calibri"/>
                <w:color w:val="111111"/>
                <w:sz w:val="18"/>
                <w:szCs w:val="18"/>
              </w:rPr>
              <w:t>LT-2A5b-2019-0001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34E906" w14:textId="77777777" w:rsidR="002117B2" w:rsidRDefault="00616284">
            <w:pPr>
              <w:spacing w:before="40" w:after="40"/>
              <w:ind w:left="100" w:right="100"/>
              <w:jc w:val="right"/>
            </w:pPr>
            <w:r>
              <w:rPr>
                <w:rFonts w:ascii="Calibri" w:eastAsia="Calibri" w:hAnsi="Calibri" w:cs="Calibri"/>
                <w:color w:val="111111"/>
                <w:sz w:val="18"/>
                <w:szCs w:val="18"/>
              </w:rPr>
              <w:t>-0.729</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DC63AC" w14:textId="77777777" w:rsidR="002117B2" w:rsidRDefault="00616284">
            <w:pPr>
              <w:spacing w:before="40" w:after="40"/>
              <w:ind w:left="100" w:right="100"/>
              <w:jc w:val="right"/>
            </w:pPr>
            <w:r>
              <w:rPr>
                <w:rFonts w:ascii="Calibri" w:eastAsia="Calibri" w:hAnsi="Calibri" w:cs="Calibri"/>
                <w:color w:val="111111"/>
                <w:sz w:val="18"/>
                <w:szCs w:val="18"/>
              </w:rPr>
              <w:t>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E884D1" w14:textId="77777777" w:rsidR="002117B2" w:rsidRDefault="00616284">
            <w:pPr>
              <w:spacing w:before="40" w:after="40"/>
              <w:ind w:left="100" w:right="100"/>
              <w:jc w:val="right"/>
            </w:pPr>
            <w:r>
              <w:rPr>
                <w:rFonts w:ascii="Calibri" w:eastAsia="Calibri" w:hAnsi="Calibri" w:cs="Calibri"/>
                <w:color w:val="111111"/>
                <w:sz w:val="18"/>
                <w:szCs w:val="18"/>
              </w:rPr>
              <w:t>0.055</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3C1CC4" w14:textId="77777777" w:rsidR="002117B2" w:rsidRDefault="00616284">
            <w:pPr>
              <w:spacing w:before="40" w:after="40"/>
              <w:ind w:left="100" w:right="100"/>
              <w:jc w:val="right"/>
            </w:pPr>
            <w:r>
              <w:rPr>
                <w:rFonts w:ascii="Calibri" w:eastAsia="Calibri" w:hAnsi="Calibri" w:cs="Calibri"/>
                <w:color w:val="111111"/>
                <w:sz w:val="18"/>
                <w:szCs w:val="18"/>
              </w:rPr>
              <w:t>0.294</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28790C" w14:textId="77777777" w:rsidR="002117B2" w:rsidRDefault="00616284">
            <w:pPr>
              <w:spacing w:before="40" w:after="40"/>
              <w:ind w:left="100" w:right="100"/>
              <w:jc w:val="right"/>
            </w:pPr>
            <w:r>
              <w:rPr>
                <w:rFonts w:ascii="Calibri" w:eastAsia="Calibri" w:hAnsi="Calibri" w:cs="Calibri"/>
                <w:color w:val="111111"/>
                <w:sz w:val="18"/>
                <w:szCs w:val="18"/>
              </w:rPr>
              <w:t>-0.350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B8A624" w14:textId="77777777" w:rsidR="002117B2" w:rsidRDefault="00616284">
            <w:pPr>
              <w:spacing w:before="40" w:after="40"/>
              <w:ind w:left="100" w:right="100"/>
              <w:jc w:val="right"/>
            </w:pPr>
            <w:r>
              <w:rPr>
                <w:rFonts w:ascii="Calibri" w:eastAsia="Calibri" w:hAnsi="Calibri" w:cs="Calibri"/>
                <w:color w:val="111111"/>
                <w:sz w:val="18"/>
                <w:szCs w:val="18"/>
              </w:rPr>
              <w:t>0</w:t>
            </w:r>
          </w:p>
        </w:tc>
      </w:tr>
      <w:tr w:rsidR="002117B2" w14:paraId="61434A16"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A9072F4" w14:textId="77777777" w:rsidR="002117B2" w:rsidRDefault="00616284">
            <w:pPr>
              <w:spacing w:before="40" w:after="40"/>
              <w:ind w:left="100" w:right="100"/>
            </w:pPr>
            <w:r>
              <w:rPr>
                <w:rFonts w:ascii="Calibri" w:eastAsia="Calibri" w:hAnsi="Calibri" w:cs="Calibri"/>
                <w:color w:val="111111"/>
                <w:sz w:val="18"/>
                <w:szCs w:val="18"/>
              </w:rPr>
              <w:t>National total (row 141) including revised estimates and technical corrections accepted by Lithuania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296D933" w14:textId="77777777" w:rsidR="002117B2" w:rsidRDefault="00616284">
            <w:pPr>
              <w:spacing w:before="40" w:after="40"/>
              <w:ind w:left="100" w:right="100"/>
              <w:jc w:val="right"/>
            </w:pPr>
            <w:r>
              <w:rPr>
                <w:rFonts w:ascii="Calibri" w:eastAsia="Calibri" w:hAnsi="Calibri" w:cs="Calibri"/>
                <w:color w:val="111111"/>
                <w:sz w:val="18"/>
                <w:szCs w:val="18"/>
              </w:rPr>
              <w:t>8.497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0175C36" w14:textId="77777777" w:rsidR="002117B2" w:rsidRDefault="00616284">
            <w:pPr>
              <w:spacing w:before="40" w:after="40"/>
              <w:ind w:left="100" w:right="100"/>
              <w:jc w:val="right"/>
            </w:pPr>
            <w:r>
              <w:rPr>
                <w:rFonts w:ascii="Calibri" w:eastAsia="Calibri" w:hAnsi="Calibri" w:cs="Calibri"/>
                <w:color w:val="111111"/>
                <w:sz w:val="18"/>
                <w:szCs w:val="18"/>
              </w:rPr>
              <w:t>7.853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B393F90" w14:textId="77777777" w:rsidR="002117B2" w:rsidRDefault="00616284">
            <w:pPr>
              <w:spacing w:before="40" w:after="40"/>
              <w:ind w:left="100" w:right="100"/>
              <w:jc w:val="right"/>
            </w:pPr>
            <w:r>
              <w:rPr>
                <w:rFonts w:ascii="Calibri" w:eastAsia="Calibri" w:hAnsi="Calibri" w:cs="Calibri"/>
                <w:color w:val="111111"/>
                <w:sz w:val="18"/>
                <w:szCs w:val="18"/>
              </w:rPr>
              <w:t>5.541</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E4836C6" w14:textId="77777777" w:rsidR="002117B2" w:rsidRDefault="00616284">
            <w:pPr>
              <w:spacing w:before="40" w:after="40"/>
              <w:ind w:left="100" w:right="100"/>
              <w:jc w:val="right"/>
            </w:pPr>
            <w:r>
              <w:rPr>
                <w:rFonts w:ascii="Calibri" w:eastAsia="Calibri" w:hAnsi="Calibri" w:cs="Calibri"/>
                <w:color w:val="111111"/>
                <w:sz w:val="18"/>
                <w:szCs w:val="18"/>
              </w:rPr>
              <w:t>5.709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36A5200" w14:textId="77777777" w:rsidR="002117B2" w:rsidRDefault="00616284">
            <w:pPr>
              <w:spacing w:before="40" w:after="40"/>
              <w:ind w:left="100" w:right="100"/>
              <w:jc w:val="right"/>
            </w:pPr>
            <w:r>
              <w:rPr>
                <w:rFonts w:ascii="Calibri" w:eastAsia="Calibri" w:hAnsi="Calibri" w:cs="Calibri"/>
                <w:color w:val="111111"/>
                <w:sz w:val="18"/>
                <w:szCs w:val="18"/>
              </w:rPr>
              <w:t>5.667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0D89E73" w14:textId="77777777" w:rsidR="002117B2" w:rsidRDefault="00616284">
            <w:pPr>
              <w:spacing w:before="40" w:after="40"/>
              <w:ind w:left="100" w:right="100"/>
              <w:jc w:val="right"/>
            </w:pPr>
            <w:r>
              <w:rPr>
                <w:rFonts w:ascii="Calibri" w:eastAsia="Calibri" w:hAnsi="Calibri" w:cs="Calibri"/>
                <w:color w:val="111111"/>
                <w:sz w:val="18"/>
                <w:szCs w:val="18"/>
              </w:rPr>
              <w:t>5.786</w:t>
            </w:r>
          </w:p>
        </w:tc>
      </w:tr>
      <w:tr w:rsidR="002117B2" w14:paraId="3DD97A6D"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D7E238D" w14:textId="30C0F4F2"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 estimate including revised estimates, technical corrections accepted by Lithuania and adjustments recommended (by technical expert review team) to be accepted by EC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B26D834" w14:textId="77777777" w:rsidR="002117B2" w:rsidRDefault="00616284">
            <w:pPr>
              <w:spacing w:before="40" w:after="40"/>
              <w:ind w:left="100" w:right="100"/>
              <w:jc w:val="right"/>
            </w:pPr>
            <w:r>
              <w:rPr>
                <w:rFonts w:ascii="Calibri" w:eastAsia="Calibri" w:hAnsi="Calibri" w:cs="Calibri"/>
                <w:color w:val="111111"/>
                <w:sz w:val="18"/>
                <w:szCs w:val="18"/>
              </w:rPr>
              <w:t>8.497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C40FFA8" w14:textId="77777777" w:rsidR="002117B2" w:rsidRDefault="00616284">
            <w:pPr>
              <w:spacing w:before="40" w:after="40"/>
              <w:ind w:left="100" w:right="100"/>
              <w:jc w:val="right"/>
            </w:pPr>
            <w:r>
              <w:rPr>
                <w:rFonts w:ascii="Calibri" w:eastAsia="Calibri" w:hAnsi="Calibri" w:cs="Calibri"/>
                <w:color w:val="111111"/>
                <w:sz w:val="18"/>
                <w:szCs w:val="18"/>
              </w:rPr>
              <w:t>7.853</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49CB5C9" w14:textId="77777777" w:rsidR="002117B2" w:rsidRDefault="00616284">
            <w:pPr>
              <w:spacing w:before="40" w:after="40"/>
              <w:ind w:left="100" w:right="100"/>
              <w:jc w:val="right"/>
            </w:pPr>
            <w:r>
              <w:rPr>
                <w:rFonts w:ascii="Calibri" w:eastAsia="Calibri" w:hAnsi="Calibri" w:cs="Calibri"/>
                <w:color w:val="111111"/>
                <w:sz w:val="18"/>
                <w:szCs w:val="18"/>
              </w:rPr>
              <w:t>5.541</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AF6AD1F" w14:textId="77777777" w:rsidR="002117B2" w:rsidRDefault="00616284">
            <w:pPr>
              <w:spacing w:before="40" w:after="40"/>
              <w:ind w:left="100" w:right="100"/>
              <w:jc w:val="right"/>
            </w:pPr>
            <w:r>
              <w:rPr>
                <w:rFonts w:ascii="Calibri" w:eastAsia="Calibri" w:hAnsi="Calibri" w:cs="Calibri"/>
                <w:color w:val="111111"/>
                <w:sz w:val="18"/>
                <w:szCs w:val="18"/>
              </w:rPr>
              <w:t>5.709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45C5494" w14:textId="77777777" w:rsidR="002117B2" w:rsidRDefault="00616284">
            <w:pPr>
              <w:spacing w:before="40" w:after="40"/>
              <w:ind w:left="100" w:right="100"/>
              <w:jc w:val="right"/>
            </w:pPr>
            <w:r>
              <w:rPr>
                <w:rFonts w:ascii="Calibri" w:eastAsia="Calibri" w:hAnsi="Calibri" w:cs="Calibri"/>
                <w:color w:val="111111"/>
                <w:sz w:val="18"/>
                <w:szCs w:val="18"/>
              </w:rPr>
              <w:t>5.667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5259531" w14:textId="77777777" w:rsidR="002117B2" w:rsidRDefault="00616284">
            <w:pPr>
              <w:spacing w:before="40" w:after="40"/>
              <w:ind w:left="100" w:right="100"/>
              <w:jc w:val="right"/>
            </w:pPr>
            <w:r>
              <w:rPr>
                <w:rFonts w:ascii="Calibri" w:eastAsia="Calibri" w:hAnsi="Calibri" w:cs="Calibri"/>
                <w:color w:val="111111"/>
                <w:sz w:val="18"/>
                <w:szCs w:val="18"/>
              </w:rPr>
              <w:t>5.786</w:t>
            </w:r>
          </w:p>
        </w:tc>
      </w:tr>
    </w:tbl>
    <w:p w14:paraId="5B3A8ABA" w14:textId="77777777" w:rsidR="00DC40D0" w:rsidRDefault="00DC40D0" w:rsidP="00BD49BF">
      <w:pPr>
        <w:rPr>
          <w:b/>
          <w:i/>
          <w:iCs/>
          <w:color w:val="44546A" w:themeColor="text2"/>
          <w:szCs w:val="18"/>
        </w:rPr>
      </w:pPr>
      <w:r>
        <w:br w:type="page"/>
      </w:r>
    </w:p>
    <w:p w14:paraId="6FE8E752" w14:textId="0B4F446A" w:rsidR="001E4CAB" w:rsidRDefault="001E4CAB" w:rsidP="001E4CAB">
      <w:pPr>
        <w:pStyle w:val="Antrat"/>
        <w:keepNext/>
        <w:keepLines/>
      </w:pPr>
      <w:bookmarkStart w:id="38" w:name="_Ref1735036"/>
      <w:bookmarkStart w:id="39" w:name="_Toc53738326"/>
      <w:r>
        <w:t xml:space="preserve">Table </w:t>
      </w:r>
      <w:r w:rsidR="00312EA5">
        <w:rPr>
          <w:noProof/>
        </w:rPr>
        <w:fldChar w:fldCharType="begin"/>
      </w:r>
      <w:r w:rsidR="00312EA5">
        <w:rPr>
          <w:noProof/>
        </w:rPr>
        <w:instrText xml:space="preserve"> SEQ Table \* ARABIC </w:instrText>
      </w:r>
      <w:r w:rsidR="00312EA5">
        <w:rPr>
          <w:noProof/>
        </w:rPr>
        <w:fldChar w:fldCharType="separate"/>
      </w:r>
      <w:r w:rsidR="00774955">
        <w:rPr>
          <w:noProof/>
        </w:rPr>
        <w:t>12</w:t>
      </w:r>
      <w:r w:rsidR="00312EA5">
        <w:rPr>
          <w:noProof/>
        </w:rPr>
        <w:fldChar w:fldCharType="end"/>
      </w:r>
      <w:bookmarkEnd w:id="38"/>
      <w:r>
        <w:t>: National totals as reported and national totals including revised estimates (RE)</w:t>
      </w:r>
      <w:r w:rsidR="0013725B">
        <w:t xml:space="preserve"> and</w:t>
      </w:r>
      <w:r>
        <w:t xml:space="preserve"> technical corrections (TC) </w:t>
      </w:r>
      <w:r w:rsidRPr="00BE5EC5">
        <w:t xml:space="preserve">for </w:t>
      </w:r>
      <w:r w:rsidR="009E5A97" w:rsidRPr="009E5A97">
        <w:t>PAHs (total PAHs and benzo(a)pyrene</w:t>
      </w:r>
      <w:r w:rsidR="009E5A97">
        <w:t>)</w:t>
      </w:r>
      <w:r w:rsidR="009E5A97" w:rsidRPr="009E5A97">
        <w:t>, dioxins/furans, PCBs, HCB, Cd,</w:t>
      </w:r>
      <w:r w:rsidR="00DC40D0">
        <w:t xml:space="preserve"> </w:t>
      </w:r>
      <w:r w:rsidR="009E5A97" w:rsidRPr="009E5A97">
        <w:t>Hg and Pb</w:t>
      </w:r>
      <w:r w:rsidRPr="0047290D">
        <w:rPr>
          <w:vertAlign w:val="superscript"/>
        </w:rPr>
        <w:footnoteReference w:id="9"/>
      </w:r>
      <w:r>
        <w:t xml:space="preserve"> </w:t>
      </w:r>
      <w:r w:rsidR="0013725B">
        <w:rPr>
          <w:rStyle w:val="Puslapioinaosnuoroda"/>
        </w:rPr>
        <w:footnoteReference w:id="10"/>
      </w:r>
      <w:bookmarkEnd w:id="39"/>
    </w:p>
    <w:tbl>
      <w:tblPr>
        <w:tblW w:w="9360" w:type="dxa"/>
        <w:jc w:val="center"/>
        <w:tblLayout w:type="fixed"/>
        <w:tblLook w:val="0420" w:firstRow="1" w:lastRow="0" w:firstColumn="0" w:lastColumn="0" w:noHBand="0" w:noVBand="1"/>
      </w:tblPr>
      <w:tblGrid>
        <w:gridCol w:w="2160"/>
        <w:gridCol w:w="2016"/>
        <w:gridCol w:w="864"/>
        <w:gridCol w:w="864"/>
        <w:gridCol w:w="864"/>
        <w:gridCol w:w="864"/>
        <w:gridCol w:w="864"/>
        <w:gridCol w:w="864"/>
      </w:tblGrid>
      <w:tr w:rsidR="002117B2" w14:paraId="3E3E0F8A" w14:textId="77777777" w:rsidTr="00A16D06">
        <w:trPr>
          <w:cantSplit/>
          <w:tblHeader/>
          <w:jc w:val="center"/>
        </w:trPr>
        <w:tc>
          <w:tcPr>
            <w:tcW w:w="2160" w:type="dxa"/>
            <w:vMerge w:val="restart"/>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54FF2841" w14:textId="77777777" w:rsidR="002117B2" w:rsidRDefault="00616284">
            <w:pPr>
              <w:spacing w:before="40" w:after="40"/>
              <w:ind w:left="100" w:right="100"/>
            </w:pPr>
            <w:r>
              <w:rPr>
                <w:rFonts w:ascii="Calibri" w:eastAsia="Calibri" w:hAnsi="Calibri" w:cs="Calibri"/>
                <w:b/>
                <w:color w:val="FFFFFF"/>
                <w:sz w:val="18"/>
                <w:szCs w:val="18"/>
              </w:rPr>
              <w:t>Description</w:t>
            </w:r>
          </w:p>
        </w:tc>
        <w:tc>
          <w:tcPr>
            <w:tcW w:w="2016" w:type="dxa"/>
            <w:vMerge w:val="restart"/>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5BB81C01" w14:textId="77777777" w:rsidR="002117B2" w:rsidRDefault="00616284">
            <w:pPr>
              <w:spacing w:before="40" w:after="40"/>
              <w:ind w:left="100" w:right="100"/>
            </w:pPr>
            <w:r>
              <w:rPr>
                <w:rFonts w:ascii="Calibri" w:eastAsia="Calibri" w:hAnsi="Calibri" w:cs="Calibri"/>
                <w:b/>
                <w:color w:val="FFFFFF"/>
                <w:sz w:val="18"/>
                <w:szCs w:val="18"/>
              </w:rPr>
              <w:t>Reference</w:t>
            </w:r>
          </w:p>
        </w:tc>
        <w:tc>
          <w:tcPr>
            <w:tcW w:w="864" w:type="dxa"/>
            <w:vMerge w:val="restart"/>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41173CC3" w14:textId="77777777" w:rsidR="002117B2" w:rsidRDefault="00616284">
            <w:pPr>
              <w:spacing w:before="40" w:after="40"/>
              <w:ind w:left="100" w:right="100"/>
              <w:jc w:val="right"/>
            </w:pPr>
            <w:r>
              <w:rPr>
                <w:rFonts w:ascii="Calibri" w:eastAsia="Calibri" w:hAnsi="Calibri" w:cs="Calibri"/>
                <w:b/>
                <w:color w:val="FFFFFF"/>
                <w:sz w:val="18"/>
                <w:szCs w:val="18"/>
              </w:rPr>
              <w:t>Unit</w:t>
            </w:r>
          </w:p>
        </w:tc>
        <w:tc>
          <w:tcPr>
            <w:tcW w:w="4320" w:type="dxa"/>
            <w:gridSpan w:val="5"/>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3382DBFC" w14:textId="77777777" w:rsidR="002117B2" w:rsidRDefault="00616284">
            <w:pPr>
              <w:spacing w:before="40" w:after="40"/>
              <w:ind w:left="100" w:right="100"/>
              <w:jc w:val="center"/>
            </w:pPr>
            <w:r>
              <w:rPr>
                <w:rFonts w:ascii="Calibri" w:eastAsia="Calibri" w:hAnsi="Calibri" w:cs="Calibri"/>
                <w:b/>
                <w:color w:val="FFFFFF"/>
                <w:sz w:val="18"/>
                <w:szCs w:val="18"/>
              </w:rPr>
              <w:t>Pollutant estimates</w:t>
            </w:r>
          </w:p>
        </w:tc>
      </w:tr>
      <w:tr w:rsidR="002117B2" w14:paraId="0B38426B" w14:textId="77777777">
        <w:trPr>
          <w:cantSplit/>
          <w:jc w:val="center"/>
        </w:trPr>
        <w:tc>
          <w:tcPr>
            <w:tcW w:w="2160" w:type="dxa"/>
            <w:vMerge/>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6DE6F56D" w14:textId="77777777" w:rsidR="002117B2" w:rsidRDefault="002117B2">
            <w:pPr>
              <w:spacing w:before="40" w:after="40"/>
              <w:ind w:left="100" w:right="100"/>
            </w:pPr>
          </w:p>
        </w:tc>
        <w:tc>
          <w:tcPr>
            <w:tcW w:w="2016" w:type="dxa"/>
            <w:vMerge/>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50623DB3" w14:textId="77777777" w:rsidR="002117B2" w:rsidRDefault="002117B2">
            <w:pPr>
              <w:spacing w:before="40" w:after="40"/>
              <w:ind w:left="100" w:right="100"/>
            </w:pPr>
          </w:p>
        </w:tc>
        <w:tc>
          <w:tcPr>
            <w:tcW w:w="864" w:type="dxa"/>
            <w:vMerge/>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63E5D377" w14:textId="77777777" w:rsidR="002117B2" w:rsidRDefault="002117B2">
            <w:pPr>
              <w:spacing w:before="40" w:after="40"/>
              <w:ind w:left="100" w:right="100"/>
              <w:jc w:val="right"/>
            </w:pPr>
          </w:p>
        </w:tc>
        <w:tc>
          <w:tcPr>
            <w:tcW w:w="864" w:type="dxa"/>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02EE7B76" w14:textId="77777777" w:rsidR="002117B2" w:rsidRDefault="00616284">
            <w:pPr>
              <w:spacing w:before="40" w:after="40"/>
              <w:ind w:left="100" w:right="100"/>
              <w:jc w:val="right"/>
            </w:pPr>
            <w:r>
              <w:rPr>
                <w:rFonts w:ascii="Calibri" w:eastAsia="Calibri" w:hAnsi="Calibri" w:cs="Calibri"/>
                <w:b/>
                <w:color w:val="FFFFFF"/>
                <w:sz w:val="18"/>
                <w:szCs w:val="18"/>
              </w:rPr>
              <w:t>1990</w:t>
            </w:r>
          </w:p>
        </w:tc>
        <w:tc>
          <w:tcPr>
            <w:tcW w:w="864" w:type="dxa"/>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120321AE" w14:textId="77777777" w:rsidR="002117B2" w:rsidRDefault="00616284">
            <w:pPr>
              <w:spacing w:before="40" w:after="40"/>
              <w:ind w:left="100" w:right="100"/>
              <w:jc w:val="right"/>
            </w:pPr>
            <w:r>
              <w:rPr>
                <w:rFonts w:ascii="Calibri" w:eastAsia="Calibri" w:hAnsi="Calibri" w:cs="Calibri"/>
                <w:b/>
                <w:color w:val="FFFFFF"/>
                <w:sz w:val="18"/>
                <w:szCs w:val="18"/>
              </w:rPr>
              <w:t>2005</w:t>
            </w:r>
          </w:p>
        </w:tc>
        <w:tc>
          <w:tcPr>
            <w:tcW w:w="864" w:type="dxa"/>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1D2FD274" w14:textId="77777777" w:rsidR="002117B2" w:rsidRDefault="00616284">
            <w:pPr>
              <w:spacing w:before="40" w:after="40"/>
              <w:ind w:left="100" w:right="100"/>
              <w:jc w:val="right"/>
            </w:pPr>
            <w:r>
              <w:rPr>
                <w:rFonts w:ascii="Calibri" w:eastAsia="Calibri" w:hAnsi="Calibri" w:cs="Calibri"/>
                <w:b/>
                <w:color w:val="FFFFFF"/>
                <w:sz w:val="18"/>
                <w:szCs w:val="18"/>
              </w:rPr>
              <w:t>2016</w:t>
            </w:r>
          </w:p>
        </w:tc>
        <w:tc>
          <w:tcPr>
            <w:tcW w:w="864" w:type="dxa"/>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4EA96622" w14:textId="77777777" w:rsidR="002117B2" w:rsidRDefault="00616284">
            <w:pPr>
              <w:spacing w:before="40" w:after="40"/>
              <w:ind w:left="100" w:right="100"/>
              <w:jc w:val="right"/>
            </w:pPr>
            <w:r>
              <w:rPr>
                <w:rFonts w:ascii="Calibri" w:eastAsia="Calibri" w:hAnsi="Calibri" w:cs="Calibri"/>
                <w:b/>
                <w:color w:val="FFFFFF"/>
                <w:sz w:val="18"/>
                <w:szCs w:val="18"/>
              </w:rPr>
              <w:t>2017</w:t>
            </w:r>
          </w:p>
        </w:tc>
        <w:tc>
          <w:tcPr>
            <w:tcW w:w="864" w:type="dxa"/>
            <w:tcBorders>
              <w:top w:val="single" w:sz="8" w:space="0" w:color="000000"/>
              <w:left w:val="single" w:sz="8" w:space="0" w:color="000000"/>
              <w:bottom w:val="single" w:sz="8" w:space="0" w:color="000000"/>
              <w:right w:val="single" w:sz="8" w:space="0" w:color="000000"/>
            </w:tcBorders>
            <w:shd w:val="clear" w:color="auto" w:fill="2F5596"/>
            <w:tcMar>
              <w:top w:w="0" w:type="dxa"/>
              <w:left w:w="0" w:type="dxa"/>
              <w:bottom w:w="0" w:type="dxa"/>
              <w:right w:w="0" w:type="dxa"/>
            </w:tcMar>
            <w:vAlign w:val="center"/>
          </w:tcPr>
          <w:p w14:paraId="53C016D1" w14:textId="77777777" w:rsidR="002117B2" w:rsidRDefault="00616284">
            <w:pPr>
              <w:spacing w:before="40" w:after="40"/>
              <w:ind w:left="100" w:right="100"/>
              <w:jc w:val="right"/>
            </w:pPr>
            <w:r>
              <w:rPr>
                <w:rFonts w:ascii="Calibri" w:eastAsia="Calibri" w:hAnsi="Calibri" w:cs="Calibri"/>
                <w:b/>
                <w:color w:val="FFFFFF"/>
                <w:sz w:val="18"/>
                <w:szCs w:val="18"/>
              </w:rPr>
              <w:t>2018</w:t>
            </w:r>
          </w:p>
        </w:tc>
      </w:tr>
      <w:tr w:rsidR="002117B2" w14:paraId="517D21CB"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0858CB55" w14:textId="77777777" w:rsidR="002117B2" w:rsidRDefault="00616284">
            <w:pPr>
              <w:spacing w:before="40" w:after="40"/>
              <w:ind w:left="100" w:right="100"/>
            </w:pPr>
            <w:r>
              <w:rPr>
                <w:rFonts w:ascii="Calibri" w:eastAsia="Calibri" w:hAnsi="Calibri" w:cs="Calibri"/>
                <w:b/>
                <w:color w:val="111111"/>
                <w:sz w:val="18"/>
                <w:szCs w:val="18"/>
              </w:rPr>
              <w:t>PCDD/PCDF (dioxins/furans)</w:t>
            </w:r>
          </w:p>
        </w:tc>
      </w:tr>
      <w:tr w:rsidR="002117B2" w14:paraId="456A3A43"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8863F23"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1310C1C"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1AA8BAE" w14:textId="77777777" w:rsidR="002117B2" w:rsidRDefault="00616284">
            <w:pPr>
              <w:spacing w:before="40" w:after="40"/>
              <w:ind w:left="100" w:right="100"/>
              <w:jc w:val="right"/>
            </w:pPr>
            <w:r>
              <w:rPr>
                <w:rFonts w:ascii="Calibri" w:eastAsia="Calibri" w:hAnsi="Calibri" w:cs="Calibri"/>
                <w:color w:val="111111"/>
                <w:sz w:val="18"/>
                <w:szCs w:val="18"/>
              </w:rPr>
              <w:t>(g I-TEQ)</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6BD4F33" w14:textId="77777777" w:rsidR="002117B2" w:rsidRDefault="00616284">
            <w:pPr>
              <w:spacing w:before="40" w:after="40"/>
              <w:ind w:left="100" w:right="100"/>
              <w:jc w:val="right"/>
            </w:pPr>
            <w:r>
              <w:rPr>
                <w:rFonts w:ascii="Calibri" w:eastAsia="Calibri" w:hAnsi="Calibri" w:cs="Calibri"/>
                <w:color w:val="111111"/>
                <w:sz w:val="18"/>
                <w:szCs w:val="18"/>
              </w:rPr>
              <w:t>26.200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794522F" w14:textId="77777777" w:rsidR="002117B2" w:rsidRDefault="00616284">
            <w:pPr>
              <w:spacing w:before="40" w:after="40"/>
              <w:ind w:left="100" w:right="100"/>
              <w:jc w:val="right"/>
            </w:pPr>
            <w:r>
              <w:rPr>
                <w:rFonts w:ascii="Calibri" w:eastAsia="Calibri" w:hAnsi="Calibri" w:cs="Calibri"/>
                <w:color w:val="111111"/>
                <w:sz w:val="18"/>
                <w:szCs w:val="18"/>
              </w:rPr>
              <w:t>33.437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021BC3F" w14:textId="77777777" w:rsidR="002117B2" w:rsidRDefault="00616284">
            <w:pPr>
              <w:spacing w:before="40" w:after="40"/>
              <w:ind w:left="100" w:right="100"/>
              <w:jc w:val="right"/>
            </w:pPr>
            <w:r>
              <w:rPr>
                <w:rFonts w:ascii="Calibri" w:eastAsia="Calibri" w:hAnsi="Calibri" w:cs="Calibri"/>
                <w:color w:val="111111"/>
                <w:sz w:val="18"/>
                <w:szCs w:val="18"/>
              </w:rPr>
              <w:t>18.494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93FC1A9" w14:textId="77777777" w:rsidR="002117B2" w:rsidRDefault="00616284">
            <w:pPr>
              <w:spacing w:before="40" w:after="40"/>
              <w:ind w:left="100" w:right="100"/>
              <w:jc w:val="right"/>
            </w:pPr>
            <w:r>
              <w:rPr>
                <w:rFonts w:ascii="Calibri" w:eastAsia="Calibri" w:hAnsi="Calibri" w:cs="Calibri"/>
                <w:color w:val="111111"/>
                <w:sz w:val="18"/>
                <w:szCs w:val="18"/>
              </w:rPr>
              <w:t>18.971</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DF54523" w14:textId="77777777" w:rsidR="002117B2" w:rsidRDefault="00616284">
            <w:pPr>
              <w:spacing w:before="40" w:after="40"/>
              <w:ind w:left="100" w:right="100"/>
              <w:jc w:val="right"/>
            </w:pPr>
            <w:r>
              <w:rPr>
                <w:rFonts w:ascii="Calibri" w:eastAsia="Calibri" w:hAnsi="Calibri" w:cs="Calibri"/>
                <w:color w:val="111111"/>
                <w:sz w:val="18"/>
                <w:szCs w:val="18"/>
              </w:rPr>
              <w:t>19.344</w:t>
            </w:r>
          </w:p>
        </w:tc>
      </w:tr>
      <w:tr w:rsidR="002117B2" w14:paraId="1DDE50EC"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74A0192" w14:textId="72DC8E51"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D2B00BB"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5C7AC5F" w14:textId="77777777" w:rsidR="002117B2" w:rsidRDefault="00616284">
            <w:pPr>
              <w:spacing w:before="40" w:after="40"/>
              <w:ind w:left="100" w:right="100"/>
              <w:jc w:val="right"/>
            </w:pPr>
            <w:r>
              <w:rPr>
                <w:rFonts w:ascii="Calibri" w:eastAsia="Calibri" w:hAnsi="Calibri" w:cs="Calibri"/>
                <w:color w:val="111111"/>
                <w:sz w:val="18"/>
                <w:szCs w:val="18"/>
              </w:rPr>
              <w:t>(g I-TEQ)</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82C9952" w14:textId="77777777" w:rsidR="002117B2" w:rsidRDefault="00616284">
            <w:pPr>
              <w:spacing w:before="40" w:after="40"/>
              <w:ind w:left="100" w:right="100"/>
              <w:jc w:val="right"/>
            </w:pPr>
            <w:r>
              <w:rPr>
                <w:rFonts w:ascii="Calibri" w:eastAsia="Calibri" w:hAnsi="Calibri" w:cs="Calibri"/>
                <w:color w:val="111111"/>
                <w:sz w:val="18"/>
                <w:szCs w:val="18"/>
              </w:rPr>
              <w:t>26.200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202AC58" w14:textId="77777777" w:rsidR="002117B2" w:rsidRDefault="00616284">
            <w:pPr>
              <w:spacing w:before="40" w:after="40"/>
              <w:ind w:left="100" w:right="100"/>
              <w:jc w:val="right"/>
            </w:pPr>
            <w:r>
              <w:rPr>
                <w:rFonts w:ascii="Calibri" w:eastAsia="Calibri" w:hAnsi="Calibri" w:cs="Calibri"/>
                <w:color w:val="111111"/>
                <w:sz w:val="18"/>
                <w:szCs w:val="18"/>
              </w:rPr>
              <w:t>33.437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B9A5F5F" w14:textId="77777777" w:rsidR="002117B2" w:rsidRDefault="00616284">
            <w:pPr>
              <w:spacing w:before="40" w:after="40"/>
              <w:ind w:left="100" w:right="100"/>
              <w:jc w:val="right"/>
            </w:pPr>
            <w:r>
              <w:rPr>
                <w:rFonts w:ascii="Calibri" w:eastAsia="Calibri" w:hAnsi="Calibri" w:cs="Calibri"/>
                <w:color w:val="111111"/>
                <w:sz w:val="18"/>
                <w:szCs w:val="18"/>
              </w:rPr>
              <w:t>18.494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C498A38" w14:textId="77777777" w:rsidR="002117B2" w:rsidRDefault="00616284">
            <w:pPr>
              <w:spacing w:before="40" w:after="40"/>
              <w:ind w:left="100" w:right="100"/>
              <w:jc w:val="right"/>
            </w:pPr>
            <w:r>
              <w:rPr>
                <w:rFonts w:ascii="Calibri" w:eastAsia="Calibri" w:hAnsi="Calibri" w:cs="Calibri"/>
                <w:color w:val="111111"/>
                <w:sz w:val="18"/>
                <w:szCs w:val="18"/>
              </w:rPr>
              <w:t>18.971</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C48547F" w14:textId="77777777" w:rsidR="002117B2" w:rsidRDefault="00616284">
            <w:pPr>
              <w:spacing w:before="40" w:after="40"/>
              <w:ind w:left="100" w:right="100"/>
              <w:jc w:val="right"/>
            </w:pPr>
            <w:r>
              <w:rPr>
                <w:rFonts w:ascii="Calibri" w:eastAsia="Calibri" w:hAnsi="Calibri" w:cs="Calibri"/>
                <w:color w:val="111111"/>
                <w:sz w:val="18"/>
                <w:szCs w:val="18"/>
              </w:rPr>
              <w:t>19.344</w:t>
            </w:r>
          </w:p>
        </w:tc>
      </w:tr>
      <w:tr w:rsidR="002117B2" w14:paraId="66F7F4E2"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74D33DD4" w14:textId="77777777" w:rsidR="002117B2" w:rsidRDefault="00616284">
            <w:pPr>
              <w:spacing w:before="40" w:after="40"/>
              <w:ind w:left="100" w:right="100"/>
            </w:pPr>
            <w:r>
              <w:rPr>
                <w:rFonts w:ascii="Calibri" w:eastAsia="Calibri" w:hAnsi="Calibri" w:cs="Calibri"/>
                <w:b/>
                <w:color w:val="111111"/>
                <w:sz w:val="18"/>
                <w:szCs w:val="18"/>
              </w:rPr>
              <w:t>PAHs (total)</w:t>
            </w:r>
          </w:p>
        </w:tc>
      </w:tr>
      <w:tr w:rsidR="002117B2" w14:paraId="0070FC56"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17A8081"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3A0BF1C"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8D084BE"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2813241" w14:textId="77777777" w:rsidR="002117B2" w:rsidRDefault="00616284">
            <w:pPr>
              <w:spacing w:before="40" w:after="40"/>
              <w:ind w:left="100" w:right="100"/>
              <w:jc w:val="right"/>
            </w:pPr>
            <w:r>
              <w:rPr>
                <w:rFonts w:ascii="Calibri" w:eastAsia="Calibri" w:hAnsi="Calibri" w:cs="Calibri"/>
                <w:color w:val="111111"/>
                <w:sz w:val="18"/>
                <w:szCs w:val="18"/>
              </w:rPr>
              <w:t>19.783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171E186" w14:textId="77777777" w:rsidR="002117B2" w:rsidRDefault="00616284">
            <w:pPr>
              <w:spacing w:before="40" w:after="40"/>
              <w:ind w:left="100" w:right="100"/>
              <w:jc w:val="right"/>
            </w:pPr>
            <w:r>
              <w:rPr>
                <w:rFonts w:ascii="Calibri" w:eastAsia="Calibri" w:hAnsi="Calibri" w:cs="Calibri"/>
                <w:color w:val="111111"/>
                <w:sz w:val="18"/>
                <w:szCs w:val="18"/>
              </w:rPr>
              <w:t>11.080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8E59976" w14:textId="77777777" w:rsidR="002117B2" w:rsidRDefault="00616284">
            <w:pPr>
              <w:spacing w:before="40" w:after="40"/>
              <w:ind w:left="100" w:right="100"/>
              <w:jc w:val="right"/>
            </w:pPr>
            <w:r>
              <w:rPr>
                <w:rFonts w:ascii="Calibri" w:eastAsia="Calibri" w:hAnsi="Calibri" w:cs="Calibri"/>
                <w:color w:val="111111"/>
                <w:sz w:val="18"/>
                <w:szCs w:val="18"/>
              </w:rPr>
              <w:t>9.616</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B3D1E27" w14:textId="77777777" w:rsidR="002117B2" w:rsidRDefault="00616284">
            <w:pPr>
              <w:spacing w:before="40" w:after="40"/>
              <w:ind w:left="100" w:right="100"/>
              <w:jc w:val="right"/>
            </w:pPr>
            <w:r>
              <w:rPr>
                <w:rFonts w:ascii="Calibri" w:eastAsia="Calibri" w:hAnsi="Calibri" w:cs="Calibri"/>
                <w:color w:val="111111"/>
                <w:sz w:val="18"/>
                <w:szCs w:val="18"/>
              </w:rPr>
              <w:t>9.739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2BAB9A6" w14:textId="77777777" w:rsidR="002117B2" w:rsidRDefault="00616284">
            <w:pPr>
              <w:spacing w:before="40" w:after="40"/>
              <w:ind w:left="100" w:right="100"/>
              <w:jc w:val="right"/>
            </w:pPr>
            <w:r>
              <w:rPr>
                <w:rFonts w:ascii="Calibri" w:eastAsia="Calibri" w:hAnsi="Calibri" w:cs="Calibri"/>
                <w:color w:val="111111"/>
                <w:sz w:val="18"/>
                <w:szCs w:val="18"/>
              </w:rPr>
              <w:t>9.661</w:t>
            </w:r>
          </w:p>
        </w:tc>
      </w:tr>
      <w:tr w:rsidR="002117B2" w14:paraId="23F53B3A"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98D196E" w14:textId="219D2824"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5154E8F"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D736867"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F790C32" w14:textId="77777777" w:rsidR="002117B2" w:rsidRDefault="00616284">
            <w:pPr>
              <w:spacing w:before="40" w:after="40"/>
              <w:ind w:left="100" w:right="100"/>
              <w:jc w:val="right"/>
            </w:pPr>
            <w:r>
              <w:rPr>
                <w:rFonts w:ascii="Calibri" w:eastAsia="Calibri" w:hAnsi="Calibri" w:cs="Calibri"/>
                <w:color w:val="111111"/>
                <w:sz w:val="18"/>
                <w:szCs w:val="18"/>
              </w:rPr>
              <w:t>19.783</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1D5DB62" w14:textId="77777777" w:rsidR="002117B2" w:rsidRDefault="00616284">
            <w:pPr>
              <w:spacing w:before="40" w:after="40"/>
              <w:ind w:left="100" w:right="100"/>
              <w:jc w:val="right"/>
            </w:pPr>
            <w:r>
              <w:rPr>
                <w:rFonts w:ascii="Calibri" w:eastAsia="Calibri" w:hAnsi="Calibri" w:cs="Calibri"/>
                <w:color w:val="111111"/>
                <w:sz w:val="18"/>
                <w:szCs w:val="18"/>
              </w:rPr>
              <w:t>11.080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44DE830" w14:textId="77777777" w:rsidR="002117B2" w:rsidRDefault="00616284">
            <w:pPr>
              <w:spacing w:before="40" w:after="40"/>
              <w:ind w:left="100" w:right="100"/>
              <w:jc w:val="right"/>
            </w:pPr>
            <w:r>
              <w:rPr>
                <w:rFonts w:ascii="Calibri" w:eastAsia="Calibri" w:hAnsi="Calibri" w:cs="Calibri"/>
                <w:color w:val="111111"/>
                <w:sz w:val="18"/>
                <w:szCs w:val="18"/>
              </w:rPr>
              <w:t>9.616</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BD14C02" w14:textId="77777777" w:rsidR="002117B2" w:rsidRDefault="00616284">
            <w:pPr>
              <w:spacing w:before="40" w:after="40"/>
              <w:ind w:left="100" w:right="100"/>
              <w:jc w:val="right"/>
            </w:pPr>
            <w:r>
              <w:rPr>
                <w:rFonts w:ascii="Calibri" w:eastAsia="Calibri" w:hAnsi="Calibri" w:cs="Calibri"/>
                <w:color w:val="111111"/>
                <w:sz w:val="18"/>
                <w:szCs w:val="18"/>
              </w:rPr>
              <w:t>9.739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75DC903" w14:textId="77777777" w:rsidR="002117B2" w:rsidRDefault="00616284">
            <w:pPr>
              <w:spacing w:before="40" w:after="40"/>
              <w:ind w:left="100" w:right="100"/>
              <w:jc w:val="right"/>
            </w:pPr>
            <w:r>
              <w:rPr>
                <w:rFonts w:ascii="Calibri" w:eastAsia="Calibri" w:hAnsi="Calibri" w:cs="Calibri"/>
                <w:color w:val="111111"/>
                <w:sz w:val="18"/>
                <w:szCs w:val="18"/>
              </w:rPr>
              <w:t>9.661</w:t>
            </w:r>
          </w:p>
        </w:tc>
      </w:tr>
      <w:tr w:rsidR="002117B2" w14:paraId="702941DE"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EDF052" w14:textId="77777777" w:rsidR="002117B2" w:rsidRDefault="00616284">
            <w:pPr>
              <w:spacing w:before="40" w:after="40"/>
              <w:ind w:left="100" w:right="100"/>
            </w:pPr>
            <w:r>
              <w:rPr>
                <w:rFonts w:ascii="Calibri" w:eastAsia="Calibri" w:hAnsi="Calibri" w:cs="Calibri"/>
                <w:b/>
                <w:color w:val="111111"/>
                <w:sz w:val="18"/>
                <w:szCs w:val="18"/>
              </w:rPr>
              <w:t>Difference between original estimate and technical correction deemed necessary by the TERT</w:t>
            </w:r>
          </w:p>
        </w:tc>
      </w:tr>
      <w:tr w:rsidR="002117B2" w14:paraId="3C9332E6"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D0D7CF" w14:textId="77777777" w:rsidR="002117B2" w:rsidRDefault="00616284">
            <w:pPr>
              <w:spacing w:before="40" w:after="40"/>
              <w:ind w:left="100" w:right="100"/>
            </w:pPr>
            <w:r>
              <w:rPr>
                <w:rFonts w:ascii="Calibri" w:eastAsia="Calibri" w:hAnsi="Calibri" w:cs="Calibri"/>
                <w:color w:val="111111"/>
                <w:sz w:val="18"/>
                <w:szCs w:val="18"/>
              </w:rPr>
              <w:t>5C2 Open Burning of Waste</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F40B45" w14:textId="77777777" w:rsidR="002117B2" w:rsidRDefault="00616284">
            <w:pPr>
              <w:spacing w:before="40" w:after="40"/>
              <w:ind w:left="100" w:right="100"/>
            </w:pPr>
            <w:r>
              <w:rPr>
                <w:rFonts w:ascii="Calibri" w:eastAsia="Calibri" w:hAnsi="Calibri" w:cs="Calibri"/>
                <w:color w:val="111111"/>
                <w:sz w:val="18"/>
                <w:szCs w:val="18"/>
              </w:rPr>
              <w:t>LT-5C2-2020-0001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6145A3"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B94372" w14:textId="77777777" w:rsidR="002117B2" w:rsidRDefault="00616284">
            <w:pPr>
              <w:spacing w:before="40" w:after="40"/>
              <w:ind w:left="100" w:right="100"/>
              <w:jc w:val="right"/>
            </w:pPr>
            <w:r>
              <w:rPr>
                <w:rFonts w:ascii="Calibri" w:eastAsia="Calibri" w:hAnsi="Calibri" w:cs="Calibri"/>
                <w:color w:val="111111"/>
                <w:sz w:val="18"/>
                <w:szCs w:val="18"/>
              </w:rPr>
              <w:t>0.664</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5D6653" w14:textId="77777777" w:rsidR="002117B2" w:rsidRDefault="00616284">
            <w:pPr>
              <w:spacing w:before="40" w:after="40"/>
              <w:ind w:left="100" w:right="100"/>
              <w:jc w:val="right"/>
            </w:pPr>
            <w:r>
              <w:rPr>
                <w:rFonts w:ascii="Calibri" w:eastAsia="Calibri" w:hAnsi="Calibri" w:cs="Calibri"/>
                <w:color w:val="111111"/>
                <w:sz w:val="18"/>
                <w:szCs w:val="18"/>
              </w:rPr>
              <w:t>0.565</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2B4603" w14:textId="77777777" w:rsidR="002117B2" w:rsidRDefault="00616284">
            <w:pPr>
              <w:spacing w:before="40" w:after="40"/>
              <w:ind w:left="100" w:right="100"/>
              <w:jc w:val="right"/>
            </w:pPr>
            <w:r>
              <w:rPr>
                <w:rFonts w:ascii="Calibri" w:eastAsia="Calibri" w:hAnsi="Calibri" w:cs="Calibri"/>
                <w:color w:val="111111"/>
                <w:sz w:val="18"/>
                <w:szCs w:val="18"/>
              </w:rPr>
              <w:t>0.665</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299BFC" w14:textId="77777777" w:rsidR="002117B2" w:rsidRDefault="00616284">
            <w:pPr>
              <w:spacing w:before="40" w:after="40"/>
              <w:ind w:left="100" w:right="100"/>
              <w:jc w:val="right"/>
            </w:pPr>
            <w:r>
              <w:rPr>
                <w:rFonts w:ascii="Calibri" w:eastAsia="Calibri" w:hAnsi="Calibri" w:cs="Calibri"/>
                <w:color w:val="111111"/>
                <w:sz w:val="18"/>
                <w:szCs w:val="18"/>
              </w:rPr>
              <w:t>0.650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51E38C" w14:textId="77777777" w:rsidR="002117B2" w:rsidRDefault="00616284">
            <w:pPr>
              <w:spacing w:before="40" w:after="40"/>
              <w:ind w:left="100" w:right="100"/>
              <w:jc w:val="right"/>
            </w:pPr>
            <w:r>
              <w:rPr>
                <w:rFonts w:ascii="Calibri" w:eastAsia="Calibri" w:hAnsi="Calibri" w:cs="Calibri"/>
                <w:color w:val="111111"/>
                <w:sz w:val="18"/>
                <w:szCs w:val="18"/>
              </w:rPr>
              <w:t>0.643</w:t>
            </w:r>
          </w:p>
        </w:tc>
      </w:tr>
      <w:tr w:rsidR="002117B2" w14:paraId="5D76CEBB"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6146E81" w14:textId="77777777" w:rsidR="002117B2" w:rsidRDefault="00616284">
            <w:pPr>
              <w:spacing w:before="40" w:after="40"/>
              <w:ind w:left="100" w:right="100"/>
            </w:pPr>
            <w:r>
              <w:rPr>
                <w:rFonts w:ascii="Calibri" w:eastAsia="Calibri" w:hAnsi="Calibri" w:cs="Calibri"/>
                <w:color w:val="111111"/>
                <w:sz w:val="18"/>
                <w:szCs w:val="18"/>
              </w:rPr>
              <w:t>National total (row 141) including revised estimates and technical corrections accepted by Lithuania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8E0399C"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D0EDB22" w14:textId="77777777" w:rsidR="002117B2" w:rsidRDefault="00616284">
            <w:pPr>
              <w:spacing w:before="40" w:after="40"/>
              <w:ind w:left="100" w:right="100"/>
              <w:jc w:val="right"/>
            </w:pPr>
            <w:r>
              <w:rPr>
                <w:rFonts w:ascii="Calibri" w:eastAsia="Calibri" w:hAnsi="Calibri" w:cs="Calibri"/>
                <w:color w:val="111111"/>
                <w:sz w:val="18"/>
                <w:szCs w:val="18"/>
              </w:rPr>
              <w:t>20.447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DF96970" w14:textId="77777777" w:rsidR="002117B2" w:rsidRDefault="00616284">
            <w:pPr>
              <w:spacing w:before="40" w:after="40"/>
              <w:ind w:left="100" w:right="100"/>
              <w:jc w:val="right"/>
            </w:pPr>
            <w:r>
              <w:rPr>
                <w:rFonts w:ascii="Calibri" w:eastAsia="Calibri" w:hAnsi="Calibri" w:cs="Calibri"/>
                <w:color w:val="111111"/>
                <w:sz w:val="18"/>
                <w:szCs w:val="18"/>
              </w:rPr>
              <w:t>11.645</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44ECF78" w14:textId="77777777" w:rsidR="002117B2" w:rsidRDefault="00616284">
            <w:pPr>
              <w:spacing w:before="40" w:after="40"/>
              <w:ind w:left="100" w:right="100"/>
              <w:jc w:val="right"/>
            </w:pPr>
            <w:r>
              <w:rPr>
                <w:rFonts w:ascii="Calibri" w:eastAsia="Calibri" w:hAnsi="Calibri" w:cs="Calibri"/>
                <w:color w:val="111111"/>
                <w:sz w:val="18"/>
                <w:szCs w:val="18"/>
              </w:rPr>
              <w:t>10.280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E7A0A02" w14:textId="77777777" w:rsidR="002117B2" w:rsidRDefault="00616284">
            <w:pPr>
              <w:spacing w:before="40" w:after="40"/>
              <w:ind w:left="100" w:right="100"/>
              <w:jc w:val="right"/>
            </w:pPr>
            <w:r>
              <w:rPr>
                <w:rFonts w:ascii="Calibri" w:eastAsia="Calibri" w:hAnsi="Calibri" w:cs="Calibri"/>
                <w:color w:val="111111"/>
                <w:sz w:val="18"/>
                <w:szCs w:val="18"/>
              </w:rPr>
              <w:t>10.389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ADEB948" w14:textId="77777777" w:rsidR="002117B2" w:rsidRDefault="00616284">
            <w:pPr>
              <w:spacing w:before="40" w:after="40"/>
              <w:ind w:left="100" w:right="100"/>
              <w:jc w:val="right"/>
            </w:pPr>
            <w:r>
              <w:rPr>
                <w:rFonts w:ascii="Calibri" w:eastAsia="Calibri" w:hAnsi="Calibri" w:cs="Calibri"/>
                <w:color w:val="111111"/>
                <w:sz w:val="18"/>
                <w:szCs w:val="18"/>
              </w:rPr>
              <w:t>10.304</w:t>
            </w:r>
          </w:p>
        </w:tc>
      </w:tr>
      <w:tr w:rsidR="002117B2" w14:paraId="44D06A91"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1E5B207" w14:textId="6561C00A"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 estimate including revised estimates, technical corrections accepted by Lithuania and adjustments recommended (by technical expert review team) to be accepted by EC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3EB8511"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D5CC4CE" w14:textId="77777777" w:rsidR="002117B2" w:rsidRDefault="00616284">
            <w:pPr>
              <w:spacing w:before="40" w:after="40"/>
              <w:ind w:left="100" w:right="100"/>
              <w:jc w:val="right"/>
            </w:pPr>
            <w:r>
              <w:rPr>
                <w:rFonts w:ascii="Calibri" w:eastAsia="Calibri" w:hAnsi="Calibri" w:cs="Calibri"/>
                <w:color w:val="111111"/>
                <w:sz w:val="18"/>
                <w:szCs w:val="18"/>
              </w:rPr>
              <w:t>20.447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AF6CE54" w14:textId="77777777" w:rsidR="002117B2" w:rsidRDefault="00616284">
            <w:pPr>
              <w:spacing w:before="40" w:after="40"/>
              <w:ind w:left="100" w:right="100"/>
              <w:jc w:val="right"/>
            </w:pPr>
            <w:r>
              <w:rPr>
                <w:rFonts w:ascii="Calibri" w:eastAsia="Calibri" w:hAnsi="Calibri" w:cs="Calibri"/>
                <w:color w:val="111111"/>
                <w:sz w:val="18"/>
                <w:szCs w:val="18"/>
              </w:rPr>
              <w:t>11.645</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9564EE6" w14:textId="77777777" w:rsidR="002117B2" w:rsidRDefault="00616284">
            <w:pPr>
              <w:spacing w:before="40" w:after="40"/>
              <w:ind w:left="100" w:right="100"/>
              <w:jc w:val="right"/>
            </w:pPr>
            <w:r>
              <w:rPr>
                <w:rFonts w:ascii="Calibri" w:eastAsia="Calibri" w:hAnsi="Calibri" w:cs="Calibri"/>
                <w:color w:val="111111"/>
                <w:sz w:val="18"/>
                <w:szCs w:val="18"/>
              </w:rPr>
              <w:t>10.280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F1D93FC" w14:textId="77777777" w:rsidR="002117B2" w:rsidRDefault="00616284">
            <w:pPr>
              <w:spacing w:before="40" w:after="40"/>
              <w:ind w:left="100" w:right="100"/>
              <w:jc w:val="right"/>
            </w:pPr>
            <w:r>
              <w:rPr>
                <w:rFonts w:ascii="Calibri" w:eastAsia="Calibri" w:hAnsi="Calibri" w:cs="Calibri"/>
                <w:color w:val="111111"/>
                <w:sz w:val="18"/>
                <w:szCs w:val="18"/>
              </w:rPr>
              <w:t>10.389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CC320DB" w14:textId="77777777" w:rsidR="002117B2" w:rsidRDefault="00616284">
            <w:pPr>
              <w:spacing w:before="40" w:after="40"/>
              <w:ind w:left="100" w:right="100"/>
              <w:jc w:val="right"/>
            </w:pPr>
            <w:r>
              <w:rPr>
                <w:rFonts w:ascii="Calibri" w:eastAsia="Calibri" w:hAnsi="Calibri" w:cs="Calibri"/>
                <w:color w:val="111111"/>
                <w:sz w:val="18"/>
                <w:szCs w:val="18"/>
              </w:rPr>
              <w:t>10.304</w:t>
            </w:r>
          </w:p>
        </w:tc>
      </w:tr>
      <w:tr w:rsidR="002117B2" w14:paraId="1690207A"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0A9523EE" w14:textId="77777777" w:rsidR="002117B2" w:rsidRDefault="00616284">
            <w:pPr>
              <w:spacing w:before="40" w:after="40"/>
              <w:ind w:left="100" w:right="100"/>
            </w:pPr>
            <w:r>
              <w:rPr>
                <w:rFonts w:ascii="Calibri" w:eastAsia="Calibri" w:hAnsi="Calibri" w:cs="Calibri"/>
                <w:b/>
                <w:color w:val="111111"/>
                <w:sz w:val="18"/>
                <w:szCs w:val="18"/>
              </w:rPr>
              <w:t>benzo(a) pyrene</w:t>
            </w:r>
          </w:p>
        </w:tc>
      </w:tr>
      <w:tr w:rsidR="002117B2" w14:paraId="5B700F13"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23AB8F2"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1D5E07A"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5116383"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7238577" w14:textId="77777777" w:rsidR="002117B2" w:rsidRDefault="00616284">
            <w:pPr>
              <w:spacing w:before="40" w:after="40"/>
              <w:ind w:left="100" w:right="100"/>
              <w:jc w:val="right"/>
            </w:pPr>
            <w:r>
              <w:rPr>
                <w:rFonts w:ascii="Calibri" w:eastAsia="Calibri" w:hAnsi="Calibri" w:cs="Calibri"/>
                <w:color w:val="111111"/>
                <w:sz w:val="18"/>
                <w:szCs w:val="18"/>
              </w:rPr>
              <w:t>6.412</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8C3D6C9" w14:textId="77777777" w:rsidR="002117B2" w:rsidRDefault="00616284">
            <w:pPr>
              <w:spacing w:before="40" w:after="40"/>
              <w:ind w:left="100" w:right="100"/>
              <w:jc w:val="right"/>
            </w:pPr>
            <w:r>
              <w:rPr>
                <w:rFonts w:ascii="Calibri" w:eastAsia="Calibri" w:hAnsi="Calibri" w:cs="Calibri"/>
                <w:color w:val="111111"/>
                <w:sz w:val="18"/>
                <w:szCs w:val="18"/>
              </w:rPr>
              <w:t>3.642</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C13AB79" w14:textId="77777777" w:rsidR="002117B2" w:rsidRDefault="00616284">
            <w:pPr>
              <w:spacing w:before="40" w:after="40"/>
              <w:ind w:left="100" w:right="100"/>
              <w:jc w:val="right"/>
            </w:pPr>
            <w:r>
              <w:rPr>
                <w:rFonts w:ascii="Calibri" w:eastAsia="Calibri" w:hAnsi="Calibri" w:cs="Calibri"/>
                <w:color w:val="111111"/>
                <w:sz w:val="18"/>
                <w:szCs w:val="18"/>
              </w:rPr>
              <w:t>3.164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9A5FB41" w14:textId="77777777" w:rsidR="002117B2" w:rsidRDefault="00616284">
            <w:pPr>
              <w:spacing w:before="40" w:after="40"/>
              <w:ind w:left="100" w:right="100"/>
              <w:jc w:val="right"/>
            </w:pPr>
            <w:r>
              <w:rPr>
                <w:rFonts w:ascii="Calibri" w:eastAsia="Calibri" w:hAnsi="Calibri" w:cs="Calibri"/>
                <w:color w:val="111111"/>
                <w:sz w:val="18"/>
                <w:szCs w:val="18"/>
              </w:rPr>
              <w:t>3.201</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FA4AC3B" w14:textId="77777777" w:rsidR="002117B2" w:rsidRDefault="00616284">
            <w:pPr>
              <w:spacing w:before="40" w:after="40"/>
              <w:ind w:left="100" w:right="100"/>
              <w:jc w:val="right"/>
            </w:pPr>
            <w:r>
              <w:rPr>
                <w:rFonts w:ascii="Calibri" w:eastAsia="Calibri" w:hAnsi="Calibri" w:cs="Calibri"/>
                <w:color w:val="111111"/>
                <w:sz w:val="18"/>
                <w:szCs w:val="18"/>
              </w:rPr>
              <w:t>3.172</w:t>
            </w:r>
          </w:p>
        </w:tc>
      </w:tr>
      <w:tr w:rsidR="002117B2" w14:paraId="36D4DF7B"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4FF3C38" w14:textId="154765EA"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EB614E5"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A4C8C67"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5B324F5" w14:textId="77777777" w:rsidR="002117B2" w:rsidRDefault="00616284">
            <w:pPr>
              <w:spacing w:before="40" w:after="40"/>
              <w:ind w:left="100" w:right="100"/>
              <w:jc w:val="right"/>
            </w:pPr>
            <w:r>
              <w:rPr>
                <w:rFonts w:ascii="Calibri" w:eastAsia="Calibri" w:hAnsi="Calibri" w:cs="Calibri"/>
                <w:color w:val="111111"/>
                <w:sz w:val="18"/>
                <w:szCs w:val="18"/>
              </w:rPr>
              <w:t>6.412</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49DA72A" w14:textId="77777777" w:rsidR="002117B2" w:rsidRDefault="00616284">
            <w:pPr>
              <w:spacing w:before="40" w:after="40"/>
              <w:ind w:left="100" w:right="100"/>
              <w:jc w:val="right"/>
            </w:pPr>
            <w:r>
              <w:rPr>
                <w:rFonts w:ascii="Calibri" w:eastAsia="Calibri" w:hAnsi="Calibri" w:cs="Calibri"/>
                <w:color w:val="111111"/>
                <w:sz w:val="18"/>
                <w:szCs w:val="18"/>
              </w:rPr>
              <w:t>3.642</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F22E022" w14:textId="77777777" w:rsidR="002117B2" w:rsidRDefault="00616284">
            <w:pPr>
              <w:spacing w:before="40" w:after="40"/>
              <w:ind w:left="100" w:right="100"/>
              <w:jc w:val="right"/>
            </w:pPr>
            <w:r>
              <w:rPr>
                <w:rFonts w:ascii="Calibri" w:eastAsia="Calibri" w:hAnsi="Calibri" w:cs="Calibri"/>
                <w:color w:val="111111"/>
                <w:sz w:val="18"/>
                <w:szCs w:val="18"/>
              </w:rPr>
              <w:t>3.164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7FD4514" w14:textId="77777777" w:rsidR="002117B2" w:rsidRDefault="00616284">
            <w:pPr>
              <w:spacing w:before="40" w:after="40"/>
              <w:ind w:left="100" w:right="100"/>
              <w:jc w:val="right"/>
            </w:pPr>
            <w:r>
              <w:rPr>
                <w:rFonts w:ascii="Calibri" w:eastAsia="Calibri" w:hAnsi="Calibri" w:cs="Calibri"/>
                <w:color w:val="111111"/>
                <w:sz w:val="18"/>
                <w:szCs w:val="18"/>
              </w:rPr>
              <w:t>3.201</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A4FEA1C" w14:textId="77777777" w:rsidR="002117B2" w:rsidRDefault="00616284">
            <w:pPr>
              <w:spacing w:before="40" w:after="40"/>
              <w:ind w:left="100" w:right="100"/>
              <w:jc w:val="right"/>
            </w:pPr>
            <w:r>
              <w:rPr>
                <w:rFonts w:ascii="Calibri" w:eastAsia="Calibri" w:hAnsi="Calibri" w:cs="Calibri"/>
                <w:color w:val="111111"/>
                <w:sz w:val="18"/>
                <w:szCs w:val="18"/>
              </w:rPr>
              <w:t>3.172</w:t>
            </w:r>
          </w:p>
        </w:tc>
      </w:tr>
      <w:tr w:rsidR="002117B2" w14:paraId="30E2E621"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1F8E4B13" w14:textId="77777777" w:rsidR="002117B2" w:rsidRDefault="00616284">
            <w:pPr>
              <w:spacing w:before="40" w:after="40"/>
              <w:ind w:left="100" w:right="100"/>
            </w:pPr>
            <w:r>
              <w:rPr>
                <w:rFonts w:ascii="Calibri" w:eastAsia="Calibri" w:hAnsi="Calibri" w:cs="Calibri"/>
                <w:b/>
                <w:color w:val="111111"/>
                <w:sz w:val="18"/>
                <w:szCs w:val="18"/>
              </w:rPr>
              <w:t>HCB</w:t>
            </w:r>
          </w:p>
        </w:tc>
      </w:tr>
      <w:tr w:rsidR="002117B2" w14:paraId="183447EF"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BA34BBF"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29D8401"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FDDD4E2" w14:textId="77777777" w:rsidR="002117B2" w:rsidRDefault="00616284">
            <w:pPr>
              <w:spacing w:before="40" w:after="40"/>
              <w:ind w:left="100" w:right="100"/>
              <w:jc w:val="right"/>
            </w:pPr>
            <w:r>
              <w:rPr>
                <w:rFonts w:ascii="Calibri" w:eastAsia="Calibri" w:hAnsi="Calibri" w:cs="Calibri"/>
                <w:color w:val="111111"/>
                <w:sz w:val="18"/>
                <w:szCs w:val="18"/>
              </w:rPr>
              <w:t>(kg)</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C3CB69F" w14:textId="77777777" w:rsidR="002117B2" w:rsidRDefault="00616284">
            <w:pPr>
              <w:spacing w:before="40" w:after="40"/>
              <w:ind w:left="100" w:right="100"/>
              <w:jc w:val="right"/>
            </w:pPr>
            <w:r>
              <w:rPr>
                <w:rFonts w:ascii="Calibri" w:eastAsia="Calibri" w:hAnsi="Calibri" w:cs="Calibri"/>
                <w:color w:val="111111"/>
                <w:sz w:val="18"/>
                <w:szCs w:val="18"/>
              </w:rPr>
              <w:t>11.001</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036C769" w14:textId="77777777" w:rsidR="002117B2" w:rsidRDefault="00616284">
            <w:pPr>
              <w:spacing w:before="40" w:after="40"/>
              <w:ind w:left="100" w:right="100"/>
              <w:jc w:val="right"/>
            </w:pPr>
            <w:r>
              <w:rPr>
                <w:rFonts w:ascii="Calibri" w:eastAsia="Calibri" w:hAnsi="Calibri" w:cs="Calibri"/>
                <w:color w:val="111111"/>
                <w:sz w:val="18"/>
                <w:szCs w:val="18"/>
              </w:rPr>
              <w:t>1.823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08CABDC" w14:textId="77777777" w:rsidR="002117B2" w:rsidRDefault="00616284">
            <w:pPr>
              <w:spacing w:before="40" w:after="40"/>
              <w:ind w:left="100" w:right="100"/>
              <w:jc w:val="right"/>
            </w:pPr>
            <w:r>
              <w:rPr>
                <w:rFonts w:ascii="Calibri" w:eastAsia="Calibri" w:hAnsi="Calibri" w:cs="Calibri"/>
                <w:color w:val="111111"/>
                <w:sz w:val="18"/>
                <w:szCs w:val="18"/>
              </w:rPr>
              <w:t>0.379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FA9F0EA" w14:textId="77777777" w:rsidR="002117B2" w:rsidRDefault="00616284">
            <w:pPr>
              <w:spacing w:before="40" w:after="40"/>
              <w:ind w:left="100" w:right="100"/>
              <w:jc w:val="right"/>
            </w:pPr>
            <w:r>
              <w:rPr>
                <w:rFonts w:ascii="Calibri" w:eastAsia="Calibri" w:hAnsi="Calibri" w:cs="Calibri"/>
                <w:color w:val="111111"/>
                <w:sz w:val="18"/>
                <w:szCs w:val="18"/>
              </w:rPr>
              <w:t>0.417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58C08A3" w14:textId="77777777" w:rsidR="002117B2" w:rsidRDefault="00616284">
            <w:pPr>
              <w:spacing w:before="40" w:after="40"/>
              <w:ind w:left="100" w:right="100"/>
              <w:jc w:val="right"/>
            </w:pPr>
            <w:r>
              <w:rPr>
                <w:rFonts w:ascii="Calibri" w:eastAsia="Calibri" w:hAnsi="Calibri" w:cs="Calibri"/>
                <w:color w:val="111111"/>
                <w:sz w:val="18"/>
                <w:szCs w:val="18"/>
              </w:rPr>
              <w:t>0.448</w:t>
            </w:r>
          </w:p>
        </w:tc>
      </w:tr>
      <w:tr w:rsidR="002117B2" w14:paraId="03109205"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8B852E6" w14:textId="5C69B717"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2510870"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9BD8415" w14:textId="77777777" w:rsidR="002117B2" w:rsidRDefault="00616284">
            <w:pPr>
              <w:spacing w:before="40" w:after="40"/>
              <w:ind w:left="100" w:right="100"/>
              <w:jc w:val="right"/>
            </w:pPr>
            <w:r>
              <w:rPr>
                <w:rFonts w:ascii="Calibri" w:eastAsia="Calibri" w:hAnsi="Calibri" w:cs="Calibri"/>
                <w:color w:val="111111"/>
                <w:sz w:val="18"/>
                <w:szCs w:val="18"/>
              </w:rPr>
              <w:t>(kg)</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680F9D6" w14:textId="77777777" w:rsidR="002117B2" w:rsidRDefault="00616284">
            <w:pPr>
              <w:spacing w:before="40" w:after="40"/>
              <w:ind w:left="100" w:right="100"/>
              <w:jc w:val="right"/>
            </w:pPr>
            <w:r>
              <w:rPr>
                <w:rFonts w:ascii="Calibri" w:eastAsia="Calibri" w:hAnsi="Calibri" w:cs="Calibri"/>
                <w:color w:val="111111"/>
                <w:sz w:val="18"/>
                <w:szCs w:val="18"/>
              </w:rPr>
              <w:t>11.001</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CFD6947" w14:textId="77777777" w:rsidR="002117B2" w:rsidRDefault="00616284">
            <w:pPr>
              <w:spacing w:before="40" w:after="40"/>
              <w:ind w:left="100" w:right="100"/>
              <w:jc w:val="right"/>
            </w:pPr>
            <w:r>
              <w:rPr>
                <w:rFonts w:ascii="Calibri" w:eastAsia="Calibri" w:hAnsi="Calibri" w:cs="Calibri"/>
                <w:color w:val="111111"/>
                <w:sz w:val="18"/>
                <w:szCs w:val="18"/>
              </w:rPr>
              <w:t>1.823</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0BC76CC" w14:textId="77777777" w:rsidR="002117B2" w:rsidRDefault="00616284">
            <w:pPr>
              <w:spacing w:before="40" w:after="40"/>
              <w:ind w:left="100" w:right="100"/>
              <w:jc w:val="right"/>
            </w:pPr>
            <w:r>
              <w:rPr>
                <w:rFonts w:ascii="Calibri" w:eastAsia="Calibri" w:hAnsi="Calibri" w:cs="Calibri"/>
                <w:color w:val="111111"/>
                <w:sz w:val="18"/>
                <w:szCs w:val="18"/>
              </w:rPr>
              <w:t>0.379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9265E2F" w14:textId="77777777" w:rsidR="002117B2" w:rsidRDefault="00616284">
            <w:pPr>
              <w:spacing w:before="40" w:after="40"/>
              <w:ind w:left="100" w:right="100"/>
              <w:jc w:val="right"/>
            </w:pPr>
            <w:r>
              <w:rPr>
                <w:rFonts w:ascii="Calibri" w:eastAsia="Calibri" w:hAnsi="Calibri" w:cs="Calibri"/>
                <w:color w:val="111111"/>
                <w:sz w:val="18"/>
                <w:szCs w:val="18"/>
              </w:rPr>
              <w:t>0.417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FF7DE1C" w14:textId="77777777" w:rsidR="002117B2" w:rsidRDefault="00616284">
            <w:pPr>
              <w:spacing w:before="40" w:after="40"/>
              <w:ind w:left="100" w:right="100"/>
              <w:jc w:val="right"/>
            </w:pPr>
            <w:r>
              <w:rPr>
                <w:rFonts w:ascii="Calibri" w:eastAsia="Calibri" w:hAnsi="Calibri" w:cs="Calibri"/>
                <w:color w:val="111111"/>
                <w:sz w:val="18"/>
                <w:szCs w:val="18"/>
              </w:rPr>
              <w:t>0.448</w:t>
            </w:r>
          </w:p>
        </w:tc>
      </w:tr>
      <w:tr w:rsidR="002117B2" w14:paraId="0126E8EC"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2DBE85FC" w14:textId="77777777" w:rsidR="002117B2" w:rsidRDefault="00616284">
            <w:pPr>
              <w:spacing w:before="40" w:after="40"/>
              <w:ind w:left="100" w:right="100"/>
            </w:pPr>
            <w:r>
              <w:rPr>
                <w:rFonts w:ascii="Calibri" w:eastAsia="Calibri" w:hAnsi="Calibri" w:cs="Calibri"/>
                <w:b/>
                <w:color w:val="111111"/>
                <w:sz w:val="18"/>
                <w:szCs w:val="18"/>
              </w:rPr>
              <w:t>PCBs</w:t>
            </w:r>
          </w:p>
        </w:tc>
      </w:tr>
      <w:tr w:rsidR="002117B2" w14:paraId="7C4D9FDF"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CC25E14"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7A015E2"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37464A1" w14:textId="77777777" w:rsidR="002117B2" w:rsidRDefault="00616284">
            <w:pPr>
              <w:spacing w:before="40" w:after="40"/>
              <w:ind w:left="100" w:right="100"/>
              <w:jc w:val="right"/>
            </w:pPr>
            <w:r>
              <w:rPr>
                <w:rFonts w:ascii="Calibri" w:eastAsia="Calibri" w:hAnsi="Calibri" w:cs="Calibri"/>
                <w:color w:val="111111"/>
                <w:sz w:val="18"/>
                <w:szCs w:val="18"/>
              </w:rPr>
              <w:t>(kg)</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345530D" w14:textId="77777777" w:rsidR="002117B2" w:rsidRDefault="00616284">
            <w:pPr>
              <w:spacing w:before="40" w:after="40"/>
              <w:ind w:left="100" w:right="100"/>
              <w:jc w:val="right"/>
            </w:pPr>
            <w:r>
              <w:rPr>
                <w:rFonts w:ascii="Calibri" w:eastAsia="Calibri" w:hAnsi="Calibri" w:cs="Calibri"/>
                <w:color w:val="111111"/>
                <w:sz w:val="18"/>
                <w:szCs w:val="18"/>
              </w:rPr>
              <w:t>6.054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58FD60A" w14:textId="77777777" w:rsidR="002117B2" w:rsidRDefault="00616284">
            <w:pPr>
              <w:spacing w:before="40" w:after="40"/>
              <w:ind w:left="100" w:right="100"/>
              <w:jc w:val="right"/>
            </w:pPr>
            <w:r>
              <w:rPr>
                <w:rFonts w:ascii="Calibri" w:eastAsia="Calibri" w:hAnsi="Calibri" w:cs="Calibri"/>
                <w:color w:val="111111"/>
                <w:sz w:val="18"/>
                <w:szCs w:val="18"/>
              </w:rPr>
              <w:t>36.918</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A131FF0" w14:textId="77777777" w:rsidR="002117B2" w:rsidRDefault="00616284">
            <w:pPr>
              <w:spacing w:before="40" w:after="40"/>
              <w:ind w:left="100" w:right="100"/>
              <w:jc w:val="right"/>
            </w:pPr>
            <w:r>
              <w:rPr>
                <w:rFonts w:ascii="Calibri" w:eastAsia="Calibri" w:hAnsi="Calibri" w:cs="Calibri"/>
                <w:color w:val="111111"/>
                <w:sz w:val="18"/>
                <w:szCs w:val="18"/>
              </w:rPr>
              <w:t>1.365</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ABD2004" w14:textId="77777777" w:rsidR="002117B2" w:rsidRDefault="00616284">
            <w:pPr>
              <w:spacing w:before="40" w:after="40"/>
              <w:ind w:left="100" w:right="100"/>
              <w:jc w:val="right"/>
            </w:pPr>
            <w:r>
              <w:rPr>
                <w:rFonts w:ascii="Calibri" w:eastAsia="Calibri" w:hAnsi="Calibri" w:cs="Calibri"/>
                <w:color w:val="111111"/>
                <w:sz w:val="18"/>
                <w:szCs w:val="18"/>
              </w:rPr>
              <w:t>1.469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4820D86" w14:textId="77777777" w:rsidR="002117B2" w:rsidRDefault="00616284">
            <w:pPr>
              <w:spacing w:before="40" w:after="40"/>
              <w:ind w:left="100" w:right="100"/>
              <w:jc w:val="right"/>
            </w:pPr>
            <w:r>
              <w:rPr>
                <w:rFonts w:ascii="Calibri" w:eastAsia="Calibri" w:hAnsi="Calibri" w:cs="Calibri"/>
                <w:color w:val="111111"/>
                <w:sz w:val="18"/>
                <w:szCs w:val="18"/>
              </w:rPr>
              <w:t>1.499</w:t>
            </w:r>
          </w:p>
        </w:tc>
      </w:tr>
      <w:tr w:rsidR="002117B2" w14:paraId="2C04777F"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8FB382E" w14:textId="02D8F302"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8A71473"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CC87483" w14:textId="77777777" w:rsidR="002117B2" w:rsidRDefault="00616284">
            <w:pPr>
              <w:spacing w:before="40" w:after="40"/>
              <w:ind w:left="100" w:right="100"/>
              <w:jc w:val="right"/>
            </w:pPr>
            <w:r>
              <w:rPr>
                <w:rFonts w:ascii="Calibri" w:eastAsia="Calibri" w:hAnsi="Calibri" w:cs="Calibri"/>
                <w:color w:val="111111"/>
                <w:sz w:val="18"/>
                <w:szCs w:val="18"/>
              </w:rPr>
              <w:t>(kg)</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12AC5A4" w14:textId="77777777" w:rsidR="002117B2" w:rsidRDefault="00616284">
            <w:pPr>
              <w:spacing w:before="40" w:after="40"/>
              <w:ind w:left="100" w:right="100"/>
              <w:jc w:val="right"/>
            </w:pPr>
            <w:r>
              <w:rPr>
                <w:rFonts w:ascii="Calibri" w:eastAsia="Calibri" w:hAnsi="Calibri" w:cs="Calibri"/>
                <w:color w:val="111111"/>
                <w:sz w:val="18"/>
                <w:szCs w:val="18"/>
              </w:rPr>
              <w:t>6.054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0ED0EC0" w14:textId="77777777" w:rsidR="002117B2" w:rsidRDefault="00616284">
            <w:pPr>
              <w:spacing w:before="40" w:after="40"/>
              <w:ind w:left="100" w:right="100"/>
              <w:jc w:val="right"/>
            </w:pPr>
            <w:r>
              <w:rPr>
                <w:rFonts w:ascii="Calibri" w:eastAsia="Calibri" w:hAnsi="Calibri" w:cs="Calibri"/>
                <w:color w:val="111111"/>
                <w:sz w:val="18"/>
                <w:szCs w:val="18"/>
              </w:rPr>
              <w:t>36.918</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15BC459" w14:textId="77777777" w:rsidR="002117B2" w:rsidRDefault="00616284">
            <w:pPr>
              <w:spacing w:before="40" w:after="40"/>
              <w:ind w:left="100" w:right="100"/>
              <w:jc w:val="right"/>
            </w:pPr>
            <w:r>
              <w:rPr>
                <w:rFonts w:ascii="Calibri" w:eastAsia="Calibri" w:hAnsi="Calibri" w:cs="Calibri"/>
                <w:color w:val="111111"/>
                <w:sz w:val="18"/>
                <w:szCs w:val="18"/>
              </w:rPr>
              <w:t>1.365</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8887A0E" w14:textId="77777777" w:rsidR="002117B2" w:rsidRDefault="00616284">
            <w:pPr>
              <w:spacing w:before="40" w:after="40"/>
              <w:ind w:left="100" w:right="100"/>
              <w:jc w:val="right"/>
            </w:pPr>
            <w:r>
              <w:rPr>
                <w:rFonts w:ascii="Calibri" w:eastAsia="Calibri" w:hAnsi="Calibri" w:cs="Calibri"/>
                <w:color w:val="111111"/>
                <w:sz w:val="18"/>
                <w:szCs w:val="18"/>
              </w:rPr>
              <w:t>1.469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6BF17E5" w14:textId="77777777" w:rsidR="002117B2" w:rsidRDefault="00616284">
            <w:pPr>
              <w:spacing w:before="40" w:after="40"/>
              <w:ind w:left="100" w:right="100"/>
              <w:jc w:val="right"/>
            </w:pPr>
            <w:r>
              <w:rPr>
                <w:rFonts w:ascii="Calibri" w:eastAsia="Calibri" w:hAnsi="Calibri" w:cs="Calibri"/>
                <w:color w:val="111111"/>
                <w:sz w:val="18"/>
                <w:szCs w:val="18"/>
              </w:rPr>
              <w:t>1.499</w:t>
            </w:r>
          </w:p>
        </w:tc>
      </w:tr>
      <w:tr w:rsidR="002117B2" w14:paraId="52F1725E"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42690BAB" w14:textId="77777777" w:rsidR="002117B2" w:rsidRDefault="00616284">
            <w:pPr>
              <w:spacing w:before="40" w:after="40"/>
              <w:ind w:left="100" w:right="100"/>
            </w:pPr>
            <w:r>
              <w:rPr>
                <w:rFonts w:ascii="Calibri" w:eastAsia="Calibri" w:hAnsi="Calibri" w:cs="Calibri"/>
                <w:b/>
                <w:color w:val="111111"/>
                <w:sz w:val="18"/>
                <w:szCs w:val="18"/>
              </w:rPr>
              <w:t>Pb</w:t>
            </w:r>
          </w:p>
        </w:tc>
      </w:tr>
      <w:tr w:rsidR="002117B2" w14:paraId="6B5C2AF4"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3BD526C"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10FBDA4"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3EB3690"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199010F" w14:textId="77777777" w:rsidR="002117B2" w:rsidRDefault="00616284">
            <w:pPr>
              <w:spacing w:before="40" w:after="40"/>
              <w:ind w:left="100" w:right="100"/>
              <w:jc w:val="right"/>
            </w:pPr>
            <w:r>
              <w:rPr>
                <w:rFonts w:ascii="Calibri" w:eastAsia="Calibri" w:hAnsi="Calibri" w:cs="Calibri"/>
                <w:color w:val="111111"/>
                <w:sz w:val="18"/>
                <w:szCs w:val="18"/>
              </w:rPr>
              <w:t>87.979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5CA98FB" w14:textId="77777777" w:rsidR="002117B2" w:rsidRDefault="00616284">
            <w:pPr>
              <w:spacing w:before="40" w:after="40"/>
              <w:ind w:left="100" w:right="100"/>
              <w:jc w:val="right"/>
            </w:pPr>
            <w:r>
              <w:rPr>
                <w:rFonts w:ascii="Calibri" w:eastAsia="Calibri" w:hAnsi="Calibri" w:cs="Calibri"/>
                <w:color w:val="111111"/>
                <w:sz w:val="18"/>
                <w:szCs w:val="18"/>
              </w:rPr>
              <w:t>3.209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85BAAAE" w14:textId="77777777" w:rsidR="002117B2" w:rsidRDefault="00616284">
            <w:pPr>
              <w:spacing w:before="40" w:after="40"/>
              <w:ind w:left="100" w:right="100"/>
              <w:jc w:val="right"/>
            </w:pPr>
            <w:r>
              <w:rPr>
                <w:rFonts w:ascii="Calibri" w:eastAsia="Calibri" w:hAnsi="Calibri" w:cs="Calibri"/>
                <w:color w:val="111111"/>
                <w:sz w:val="18"/>
                <w:szCs w:val="18"/>
              </w:rPr>
              <w:t>2.624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FAF925A" w14:textId="77777777" w:rsidR="002117B2" w:rsidRDefault="00616284">
            <w:pPr>
              <w:spacing w:before="40" w:after="40"/>
              <w:ind w:left="100" w:right="100"/>
              <w:jc w:val="right"/>
            </w:pPr>
            <w:r>
              <w:rPr>
                <w:rFonts w:ascii="Calibri" w:eastAsia="Calibri" w:hAnsi="Calibri" w:cs="Calibri"/>
                <w:color w:val="111111"/>
                <w:sz w:val="18"/>
                <w:szCs w:val="18"/>
              </w:rPr>
              <w:t>2.553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D8E68ED" w14:textId="77777777" w:rsidR="002117B2" w:rsidRDefault="00616284">
            <w:pPr>
              <w:spacing w:before="40" w:after="40"/>
              <w:ind w:left="100" w:right="100"/>
              <w:jc w:val="right"/>
            </w:pPr>
            <w:r>
              <w:rPr>
                <w:rFonts w:ascii="Calibri" w:eastAsia="Calibri" w:hAnsi="Calibri" w:cs="Calibri"/>
                <w:color w:val="111111"/>
                <w:sz w:val="18"/>
                <w:szCs w:val="18"/>
              </w:rPr>
              <w:t>2.573</w:t>
            </w:r>
          </w:p>
        </w:tc>
      </w:tr>
      <w:tr w:rsidR="002117B2" w14:paraId="03898BB8"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9E8D132" w14:textId="10FBAE09"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3AE3D11"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E6956BE"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A319F40" w14:textId="77777777" w:rsidR="002117B2" w:rsidRDefault="00616284">
            <w:pPr>
              <w:spacing w:before="40" w:after="40"/>
              <w:ind w:left="100" w:right="100"/>
              <w:jc w:val="right"/>
            </w:pPr>
            <w:r>
              <w:rPr>
                <w:rFonts w:ascii="Calibri" w:eastAsia="Calibri" w:hAnsi="Calibri" w:cs="Calibri"/>
                <w:color w:val="111111"/>
                <w:sz w:val="18"/>
                <w:szCs w:val="18"/>
              </w:rPr>
              <w:t>87.979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CB72721" w14:textId="77777777" w:rsidR="002117B2" w:rsidRDefault="00616284">
            <w:pPr>
              <w:spacing w:before="40" w:after="40"/>
              <w:ind w:left="100" w:right="100"/>
              <w:jc w:val="right"/>
            </w:pPr>
            <w:r>
              <w:rPr>
                <w:rFonts w:ascii="Calibri" w:eastAsia="Calibri" w:hAnsi="Calibri" w:cs="Calibri"/>
                <w:color w:val="111111"/>
                <w:sz w:val="18"/>
                <w:szCs w:val="18"/>
              </w:rPr>
              <w:t>3.209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964DE67" w14:textId="77777777" w:rsidR="002117B2" w:rsidRDefault="00616284">
            <w:pPr>
              <w:spacing w:before="40" w:after="40"/>
              <w:ind w:left="100" w:right="100"/>
              <w:jc w:val="right"/>
            </w:pPr>
            <w:r>
              <w:rPr>
                <w:rFonts w:ascii="Calibri" w:eastAsia="Calibri" w:hAnsi="Calibri" w:cs="Calibri"/>
                <w:color w:val="111111"/>
                <w:sz w:val="18"/>
                <w:szCs w:val="18"/>
              </w:rPr>
              <w:t>2.624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DB4DED8" w14:textId="77777777" w:rsidR="002117B2" w:rsidRDefault="00616284">
            <w:pPr>
              <w:spacing w:before="40" w:after="40"/>
              <w:ind w:left="100" w:right="100"/>
              <w:jc w:val="right"/>
            </w:pPr>
            <w:r>
              <w:rPr>
                <w:rFonts w:ascii="Calibri" w:eastAsia="Calibri" w:hAnsi="Calibri" w:cs="Calibri"/>
                <w:color w:val="111111"/>
                <w:sz w:val="18"/>
                <w:szCs w:val="18"/>
              </w:rPr>
              <w:t>2.553</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ED604F8" w14:textId="77777777" w:rsidR="002117B2" w:rsidRDefault="00616284">
            <w:pPr>
              <w:spacing w:before="40" w:after="40"/>
              <w:ind w:left="100" w:right="100"/>
              <w:jc w:val="right"/>
            </w:pPr>
            <w:r>
              <w:rPr>
                <w:rFonts w:ascii="Calibri" w:eastAsia="Calibri" w:hAnsi="Calibri" w:cs="Calibri"/>
                <w:color w:val="111111"/>
                <w:sz w:val="18"/>
                <w:szCs w:val="18"/>
              </w:rPr>
              <w:t>2.573</w:t>
            </w:r>
          </w:p>
        </w:tc>
      </w:tr>
      <w:tr w:rsidR="002117B2" w14:paraId="793D5DA8"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C1BB5A" w14:textId="77777777" w:rsidR="002117B2" w:rsidRDefault="00616284">
            <w:pPr>
              <w:spacing w:before="40" w:after="40"/>
              <w:ind w:left="100" w:right="100"/>
            </w:pPr>
            <w:r>
              <w:rPr>
                <w:rFonts w:ascii="Calibri" w:eastAsia="Calibri" w:hAnsi="Calibri" w:cs="Calibri"/>
                <w:b/>
                <w:color w:val="111111"/>
                <w:sz w:val="18"/>
                <w:szCs w:val="18"/>
              </w:rPr>
              <w:t>Difference between original estimate and revised estimate provided by Lithuania and accepted by the TERT</w:t>
            </w:r>
          </w:p>
        </w:tc>
      </w:tr>
      <w:tr w:rsidR="002117B2" w14:paraId="080DA906"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3F00CC" w14:textId="77777777" w:rsidR="002117B2" w:rsidRDefault="00616284">
            <w:pPr>
              <w:spacing w:before="40" w:after="40"/>
              <w:ind w:left="100" w:right="100"/>
            </w:pPr>
            <w:r>
              <w:rPr>
                <w:rFonts w:ascii="Calibri" w:eastAsia="Calibri" w:hAnsi="Calibri" w:cs="Calibri"/>
                <w:color w:val="111111"/>
                <w:sz w:val="18"/>
                <w:szCs w:val="18"/>
              </w:rPr>
              <w:t>1A3bvi Road Transport: Automobile Tyre and Brake Wear</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0E7B3D" w14:textId="77777777" w:rsidR="002117B2" w:rsidRDefault="00616284">
            <w:pPr>
              <w:spacing w:before="40" w:after="40"/>
              <w:ind w:left="100" w:right="100"/>
            </w:pPr>
            <w:r>
              <w:rPr>
                <w:rFonts w:ascii="Calibri" w:eastAsia="Calibri" w:hAnsi="Calibri" w:cs="Calibri"/>
                <w:color w:val="111111"/>
                <w:sz w:val="18"/>
                <w:szCs w:val="18"/>
              </w:rPr>
              <w:t>LT-1A3bvi-2018-0002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9A8090"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43175C" w14:textId="77777777" w:rsidR="002117B2" w:rsidRDefault="00616284">
            <w:pPr>
              <w:spacing w:before="40" w:after="40"/>
              <w:ind w:left="100" w:right="100"/>
              <w:jc w:val="right"/>
            </w:pPr>
            <w:r>
              <w:rPr>
                <w:rFonts w:ascii="Calibri" w:eastAsia="Calibri" w:hAnsi="Calibri" w:cs="Calibri"/>
                <w:color w:val="111111"/>
                <w:sz w:val="18"/>
                <w:szCs w:val="18"/>
              </w:rPr>
              <w:t>0.007</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E418C9" w14:textId="77777777" w:rsidR="002117B2" w:rsidRDefault="00616284">
            <w:pPr>
              <w:spacing w:before="40" w:after="40"/>
              <w:ind w:left="100" w:right="100"/>
              <w:jc w:val="right"/>
            </w:pPr>
            <w:r>
              <w:rPr>
                <w:rFonts w:ascii="Calibri" w:eastAsia="Calibri" w:hAnsi="Calibri" w:cs="Calibri"/>
                <w:color w:val="111111"/>
                <w:sz w:val="18"/>
                <w:szCs w:val="18"/>
              </w:rPr>
              <w:t>0.062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97B43A" w14:textId="77777777" w:rsidR="002117B2" w:rsidRDefault="00616284">
            <w:pPr>
              <w:spacing w:before="40" w:after="40"/>
              <w:ind w:left="100" w:right="100"/>
              <w:jc w:val="right"/>
            </w:pPr>
            <w:r>
              <w:rPr>
                <w:rFonts w:ascii="Calibri" w:eastAsia="Calibri" w:hAnsi="Calibri" w:cs="Calibri"/>
                <w:color w:val="111111"/>
                <w:sz w:val="18"/>
                <w:szCs w:val="18"/>
              </w:rPr>
              <w:t>-0.044</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EA13C6" w14:textId="77777777" w:rsidR="002117B2" w:rsidRDefault="00616284">
            <w:pPr>
              <w:spacing w:before="40" w:after="40"/>
              <w:ind w:left="100" w:right="100"/>
              <w:jc w:val="right"/>
            </w:pPr>
            <w:r>
              <w:rPr>
                <w:rFonts w:ascii="Calibri" w:eastAsia="Calibri" w:hAnsi="Calibri" w:cs="Calibri"/>
                <w:color w:val="111111"/>
                <w:sz w:val="18"/>
                <w:szCs w:val="18"/>
              </w:rPr>
              <w:t>0.040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0572B0" w14:textId="77777777" w:rsidR="002117B2" w:rsidRDefault="00616284">
            <w:pPr>
              <w:spacing w:before="40" w:after="40"/>
              <w:ind w:left="100" w:right="100"/>
              <w:jc w:val="right"/>
            </w:pPr>
            <w:r>
              <w:rPr>
                <w:rFonts w:ascii="Calibri" w:eastAsia="Calibri" w:hAnsi="Calibri" w:cs="Calibri"/>
                <w:color w:val="111111"/>
                <w:sz w:val="18"/>
                <w:szCs w:val="18"/>
              </w:rPr>
              <w:t>0.073</w:t>
            </w:r>
          </w:p>
        </w:tc>
      </w:tr>
      <w:tr w:rsidR="002117B2" w14:paraId="30FF4DD4"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1A11EA" w14:textId="77777777" w:rsidR="002117B2" w:rsidRDefault="00616284">
            <w:pPr>
              <w:spacing w:before="40" w:after="40"/>
              <w:ind w:left="100" w:right="100"/>
            </w:pPr>
            <w:r>
              <w:rPr>
                <w:rFonts w:ascii="Calibri" w:eastAsia="Calibri" w:hAnsi="Calibri" w:cs="Calibri"/>
                <w:color w:val="111111"/>
                <w:sz w:val="18"/>
                <w:szCs w:val="18"/>
              </w:rPr>
              <w:t>1B2aiv Fugitive Emissions Oil: Refining / Storage</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2E0377" w14:textId="77777777" w:rsidR="002117B2" w:rsidRDefault="00616284">
            <w:pPr>
              <w:spacing w:before="40" w:after="40"/>
              <w:ind w:left="100" w:right="100"/>
            </w:pPr>
            <w:r>
              <w:rPr>
                <w:rFonts w:ascii="Calibri" w:eastAsia="Calibri" w:hAnsi="Calibri" w:cs="Calibri"/>
                <w:color w:val="111111"/>
                <w:sz w:val="18"/>
                <w:szCs w:val="18"/>
              </w:rPr>
              <w:t>LT-1B2aiv-2018-0001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47D4AE"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B6F925" w14:textId="77777777" w:rsidR="002117B2" w:rsidRDefault="00616284">
            <w:pPr>
              <w:spacing w:before="40" w:after="40"/>
              <w:ind w:left="100" w:right="100"/>
              <w:jc w:val="right"/>
            </w:pPr>
            <w:r>
              <w:rPr>
                <w:rFonts w:ascii="Calibri" w:eastAsia="Calibri" w:hAnsi="Calibri" w:cs="Calibri"/>
                <w:color w:val="111111"/>
                <w:sz w:val="18"/>
                <w:szCs w:val="18"/>
              </w:rPr>
              <w:t>0.049</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80C36D" w14:textId="77777777" w:rsidR="002117B2" w:rsidRDefault="00616284">
            <w:pPr>
              <w:spacing w:before="40" w:after="40"/>
              <w:ind w:left="100" w:right="100"/>
              <w:jc w:val="right"/>
            </w:pPr>
            <w:r>
              <w:rPr>
                <w:rFonts w:ascii="Calibri" w:eastAsia="Calibri" w:hAnsi="Calibri" w:cs="Calibri"/>
                <w:color w:val="111111"/>
                <w:sz w:val="18"/>
                <w:szCs w:val="18"/>
              </w:rPr>
              <w:t>0.047</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D61546" w14:textId="77777777" w:rsidR="002117B2" w:rsidRDefault="00616284">
            <w:pPr>
              <w:spacing w:before="40" w:after="40"/>
              <w:ind w:left="100" w:right="100"/>
              <w:jc w:val="right"/>
            </w:pPr>
            <w:r>
              <w:rPr>
                <w:rFonts w:ascii="Calibri" w:eastAsia="Calibri" w:hAnsi="Calibri" w:cs="Calibri"/>
                <w:color w:val="111111"/>
                <w:sz w:val="18"/>
                <w:szCs w:val="18"/>
              </w:rPr>
              <w:t>0.048</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FAEED5" w14:textId="77777777" w:rsidR="002117B2" w:rsidRDefault="00616284">
            <w:pPr>
              <w:spacing w:before="40" w:after="40"/>
              <w:ind w:left="100" w:right="100"/>
              <w:jc w:val="right"/>
            </w:pPr>
            <w:r>
              <w:rPr>
                <w:rFonts w:ascii="Calibri" w:eastAsia="Calibri" w:hAnsi="Calibri" w:cs="Calibri"/>
                <w:color w:val="111111"/>
                <w:sz w:val="18"/>
                <w:szCs w:val="18"/>
              </w:rPr>
              <w:t>0.050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A91109" w14:textId="77777777" w:rsidR="002117B2" w:rsidRDefault="00616284">
            <w:pPr>
              <w:spacing w:before="40" w:after="40"/>
              <w:ind w:left="100" w:right="100"/>
              <w:jc w:val="right"/>
            </w:pPr>
            <w:r>
              <w:rPr>
                <w:rFonts w:ascii="Calibri" w:eastAsia="Calibri" w:hAnsi="Calibri" w:cs="Calibri"/>
                <w:color w:val="111111"/>
                <w:sz w:val="18"/>
                <w:szCs w:val="18"/>
              </w:rPr>
              <w:t>0.049</w:t>
            </w:r>
          </w:p>
        </w:tc>
      </w:tr>
      <w:tr w:rsidR="002117B2" w14:paraId="7E12C188"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598366" w14:textId="77777777" w:rsidR="002117B2" w:rsidRDefault="00616284">
            <w:pPr>
              <w:spacing w:before="40" w:after="40"/>
              <w:ind w:left="100" w:right="100"/>
            </w:pPr>
            <w:r>
              <w:rPr>
                <w:rFonts w:ascii="Calibri" w:eastAsia="Calibri" w:hAnsi="Calibri" w:cs="Calibri"/>
                <w:b/>
                <w:color w:val="111111"/>
                <w:sz w:val="18"/>
                <w:szCs w:val="18"/>
              </w:rPr>
              <w:t>Difference between original estimate and technical correction deemed necessary by the TERT</w:t>
            </w:r>
          </w:p>
        </w:tc>
      </w:tr>
      <w:tr w:rsidR="002117B2" w14:paraId="0ACD89FD"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978AAC" w14:textId="77777777" w:rsidR="002117B2" w:rsidRDefault="00616284">
            <w:pPr>
              <w:spacing w:before="40" w:after="40"/>
              <w:ind w:left="100" w:right="100"/>
            </w:pPr>
            <w:r>
              <w:rPr>
                <w:rFonts w:ascii="Calibri" w:eastAsia="Calibri" w:hAnsi="Calibri" w:cs="Calibri"/>
                <w:color w:val="111111"/>
                <w:sz w:val="18"/>
                <w:szCs w:val="18"/>
              </w:rPr>
              <w:t>2G Other Product Use</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AFC386" w14:textId="77777777" w:rsidR="002117B2" w:rsidRDefault="00616284">
            <w:pPr>
              <w:spacing w:before="40" w:after="40"/>
              <w:ind w:left="100" w:right="100"/>
            </w:pPr>
            <w:r>
              <w:rPr>
                <w:rFonts w:ascii="Calibri" w:eastAsia="Calibri" w:hAnsi="Calibri" w:cs="Calibri"/>
                <w:color w:val="111111"/>
                <w:sz w:val="18"/>
                <w:szCs w:val="18"/>
              </w:rPr>
              <w:t>LT-2G-2018-0001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ECB9C2"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9F054A" w14:textId="77777777" w:rsidR="002117B2" w:rsidRDefault="00616284">
            <w:pPr>
              <w:spacing w:before="40" w:after="40"/>
              <w:ind w:left="100" w:right="100"/>
              <w:jc w:val="right"/>
            </w:pPr>
            <w:r>
              <w:rPr>
                <w:rFonts w:ascii="Calibri" w:eastAsia="Calibri" w:hAnsi="Calibri" w:cs="Calibri"/>
                <w:color w:val="111111"/>
                <w:sz w:val="18"/>
                <w:szCs w:val="18"/>
              </w:rPr>
              <w:t>0.154</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9AE278" w14:textId="77777777" w:rsidR="002117B2" w:rsidRDefault="00616284">
            <w:pPr>
              <w:spacing w:before="40" w:after="40"/>
              <w:ind w:left="100" w:right="100"/>
              <w:jc w:val="right"/>
            </w:pPr>
            <w:r>
              <w:rPr>
                <w:rFonts w:ascii="Calibri" w:eastAsia="Calibri" w:hAnsi="Calibri" w:cs="Calibri"/>
                <w:color w:val="111111"/>
                <w:sz w:val="18"/>
                <w:szCs w:val="18"/>
              </w:rPr>
              <w:t>0.354</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EECF5D" w14:textId="77777777" w:rsidR="002117B2" w:rsidRDefault="00616284">
            <w:pPr>
              <w:spacing w:before="40" w:after="40"/>
              <w:ind w:left="100" w:right="100"/>
              <w:jc w:val="right"/>
            </w:pPr>
            <w:r>
              <w:rPr>
                <w:rFonts w:ascii="Calibri" w:eastAsia="Calibri" w:hAnsi="Calibri" w:cs="Calibri"/>
                <w:color w:val="111111"/>
                <w:sz w:val="18"/>
                <w:szCs w:val="18"/>
              </w:rPr>
              <w:t>0.392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95FE5A" w14:textId="77777777" w:rsidR="002117B2" w:rsidRDefault="00616284">
            <w:pPr>
              <w:spacing w:before="40" w:after="40"/>
              <w:ind w:left="100" w:right="100"/>
              <w:jc w:val="right"/>
            </w:pPr>
            <w:r>
              <w:rPr>
                <w:rFonts w:ascii="Calibri" w:eastAsia="Calibri" w:hAnsi="Calibri" w:cs="Calibri"/>
                <w:color w:val="111111"/>
                <w:sz w:val="18"/>
                <w:szCs w:val="18"/>
              </w:rPr>
              <w:t>0.437</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4B74D3" w14:textId="77777777" w:rsidR="002117B2" w:rsidRDefault="00616284">
            <w:pPr>
              <w:spacing w:before="40" w:after="40"/>
              <w:ind w:left="100" w:right="100"/>
              <w:jc w:val="right"/>
            </w:pPr>
            <w:r>
              <w:rPr>
                <w:rFonts w:ascii="Calibri" w:eastAsia="Calibri" w:hAnsi="Calibri" w:cs="Calibri"/>
                <w:color w:val="111111"/>
                <w:sz w:val="18"/>
                <w:szCs w:val="18"/>
              </w:rPr>
              <w:t>0.477</w:t>
            </w:r>
          </w:p>
        </w:tc>
      </w:tr>
      <w:tr w:rsidR="002117B2" w14:paraId="67D936C9"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A336AE5" w14:textId="77777777" w:rsidR="002117B2" w:rsidRDefault="00616284">
            <w:pPr>
              <w:spacing w:before="40" w:after="40"/>
              <w:ind w:left="100" w:right="100"/>
            </w:pPr>
            <w:r>
              <w:rPr>
                <w:rFonts w:ascii="Calibri" w:eastAsia="Calibri" w:hAnsi="Calibri" w:cs="Calibri"/>
                <w:color w:val="111111"/>
                <w:sz w:val="18"/>
                <w:szCs w:val="18"/>
              </w:rPr>
              <w:t>National total (row 141) including revised estimates and technical corrections accepted by Lithuania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19882F5"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2E4D633" w14:textId="77777777" w:rsidR="002117B2" w:rsidRDefault="00616284">
            <w:pPr>
              <w:spacing w:before="40" w:after="40"/>
              <w:ind w:left="100" w:right="100"/>
              <w:jc w:val="right"/>
            </w:pPr>
            <w:r>
              <w:rPr>
                <w:rFonts w:ascii="Calibri" w:eastAsia="Calibri" w:hAnsi="Calibri" w:cs="Calibri"/>
                <w:color w:val="111111"/>
                <w:sz w:val="18"/>
                <w:szCs w:val="18"/>
              </w:rPr>
              <w:t>88.189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FFA0EAA" w14:textId="77777777" w:rsidR="002117B2" w:rsidRDefault="00616284">
            <w:pPr>
              <w:spacing w:before="40" w:after="40"/>
              <w:ind w:left="100" w:right="100"/>
              <w:jc w:val="right"/>
            </w:pPr>
            <w:r>
              <w:rPr>
                <w:rFonts w:ascii="Calibri" w:eastAsia="Calibri" w:hAnsi="Calibri" w:cs="Calibri"/>
                <w:color w:val="111111"/>
                <w:sz w:val="18"/>
                <w:szCs w:val="18"/>
              </w:rPr>
              <w:t>3.672</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71142B6" w14:textId="77777777" w:rsidR="002117B2" w:rsidRDefault="00616284">
            <w:pPr>
              <w:spacing w:before="40" w:after="40"/>
              <w:ind w:left="100" w:right="100"/>
              <w:jc w:val="right"/>
            </w:pPr>
            <w:r>
              <w:rPr>
                <w:rFonts w:ascii="Calibri" w:eastAsia="Calibri" w:hAnsi="Calibri" w:cs="Calibri"/>
                <w:color w:val="111111"/>
                <w:sz w:val="18"/>
                <w:szCs w:val="18"/>
              </w:rPr>
              <w:t>3.020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C391E60" w14:textId="77777777" w:rsidR="002117B2" w:rsidRDefault="00616284">
            <w:pPr>
              <w:spacing w:before="40" w:after="40"/>
              <w:ind w:left="100" w:right="100"/>
              <w:jc w:val="right"/>
            </w:pPr>
            <w:r>
              <w:rPr>
                <w:rFonts w:ascii="Calibri" w:eastAsia="Calibri" w:hAnsi="Calibri" w:cs="Calibri"/>
                <w:color w:val="111111"/>
                <w:sz w:val="18"/>
                <w:szCs w:val="18"/>
              </w:rPr>
              <w:t>3.079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64F360C" w14:textId="77777777" w:rsidR="002117B2" w:rsidRDefault="00616284">
            <w:pPr>
              <w:spacing w:before="40" w:after="40"/>
              <w:ind w:left="100" w:right="100"/>
              <w:jc w:val="right"/>
            </w:pPr>
            <w:r>
              <w:rPr>
                <w:rFonts w:ascii="Calibri" w:eastAsia="Calibri" w:hAnsi="Calibri" w:cs="Calibri"/>
                <w:color w:val="111111"/>
                <w:sz w:val="18"/>
                <w:szCs w:val="18"/>
              </w:rPr>
              <w:t>3.172</w:t>
            </w:r>
          </w:p>
        </w:tc>
      </w:tr>
      <w:tr w:rsidR="002117B2" w14:paraId="690002AF"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317A15A" w14:textId="7BE10DC5"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 estimate including revised estimates, technical corrections accepted by Lithuania and adjustments recommended (by technical expert review team) to be accepted by EC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C95B57E"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660544D" w14:textId="77777777" w:rsidR="002117B2" w:rsidRDefault="00616284">
            <w:pPr>
              <w:spacing w:before="40" w:after="40"/>
              <w:ind w:left="100" w:right="100"/>
              <w:jc w:val="right"/>
            </w:pPr>
            <w:r>
              <w:rPr>
                <w:rFonts w:ascii="Calibri" w:eastAsia="Calibri" w:hAnsi="Calibri" w:cs="Calibri"/>
                <w:color w:val="111111"/>
                <w:sz w:val="18"/>
                <w:szCs w:val="18"/>
              </w:rPr>
              <w:t>88.189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88EEA49" w14:textId="77777777" w:rsidR="002117B2" w:rsidRDefault="00616284">
            <w:pPr>
              <w:spacing w:before="40" w:after="40"/>
              <w:ind w:left="100" w:right="100"/>
              <w:jc w:val="right"/>
            </w:pPr>
            <w:r>
              <w:rPr>
                <w:rFonts w:ascii="Calibri" w:eastAsia="Calibri" w:hAnsi="Calibri" w:cs="Calibri"/>
                <w:color w:val="111111"/>
                <w:sz w:val="18"/>
                <w:szCs w:val="18"/>
              </w:rPr>
              <w:t>3.672</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DBEC3F8" w14:textId="77777777" w:rsidR="002117B2" w:rsidRDefault="00616284">
            <w:pPr>
              <w:spacing w:before="40" w:after="40"/>
              <w:ind w:left="100" w:right="100"/>
              <w:jc w:val="right"/>
            </w:pPr>
            <w:r>
              <w:rPr>
                <w:rFonts w:ascii="Calibri" w:eastAsia="Calibri" w:hAnsi="Calibri" w:cs="Calibri"/>
                <w:color w:val="111111"/>
                <w:sz w:val="18"/>
                <w:szCs w:val="18"/>
              </w:rPr>
              <w:t>3.020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A70C594" w14:textId="77777777" w:rsidR="002117B2" w:rsidRDefault="00616284">
            <w:pPr>
              <w:spacing w:before="40" w:after="40"/>
              <w:ind w:left="100" w:right="100"/>
              <w:jc w:val="right"/>
            </w:pPr>
            <w:r>
              <w:rPr>
                <w:rFonts w:ascii="Calibri" w:eastAsia="Calibri" w:hAnsi="Calibri" w:cs="Calibri"/>
                <w:color w:val="111111"/>
                <w:sz w:val="18"/>
                <w:szCs w:val="18"/>
              </w:rPr>
              <w:t>3.079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358995B" w14:textId="77777777" w:rsidR="002117B2" w:rsidRDefault="00616284">
            <w:pPr>
              <w:spacing w:before="40" w:after="40"/>
              <w:ind w:left="100" w:right="100"/>
              <w:jc w:val="right"/>
            </w:pPr>
            <w:r>
              <w:rPr>
                <w:rFonts w:ascii="Calibri" w:eastAsia="Calibri" w:hAnsi="Calibri" w:cs="Calibri"/>
                <w:color w:val="111111"/>
                <w:sz w:val="18"/>
                <w:szCs w:val="18"/>
              </w:rPr>
              <w:t>3.172</w:t>
            </w:r>
          </w:p>
        </w:tc>
      </w:tr>
      <w:tr w:rsidR="002117B2" w14:paraId="3ADD70A8"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4073F07B" w14:textId="77777777" w:rsidR="002117B2" w:rsidRDefault="00616284">
            <w:pPr>
              <w:spacing w:before="40" w:after="40"/>
              <w:ind w:left="100" w:right="100"/>
            </w:pPr>
            <w:r>
              <w:rPr>
                <w:rFonts w:ascii="Calibri" w:eastAsia="Calibri" w:hAnsi="Calibri" w:cs="Calibri"/>
                <w:b/>
                <w:color w:val="111111"/>
                <w:sz w:val="18"/>
                <w:szCs w:val="18"/>
              </w:rPr>
              <w:t>Cd</w:t>
            </w:r>
          </w:p>
        </w:tc>
      </w:tr>
      <w:tr w:rsidR="002117B2" w14:paraId="22393078"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C37ABEE"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ECBAD90"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6CE60ED"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6694859" w14:textId="77777777" w:rsidR="002117B2" w:rsidRDefault="00616284">
            <w:pPr>
              <w:spacing w:before="40" w:after="40"/>
              <w:ind w:left="100" w:right="100"/>
              <w:jc w:val="right"/>
            </w:pPr>
            <w:r>
              <w:rPr>
                <w:rFonts w:ascii="Calibri" w:eastAsia="Calibri" w:hAnsi="Calibri" w:cs="Calibri"/>
                <w:color w:val="111111"/>
                <w:sz w:val="18"/>
                <w:szCs w:val="18"/>
              </w:rPr>
              <w:t>0.310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0097FE2" w14:textId="77777777" w:rsidR="002117B2" w:rsidRDefault="00616284">
            <w:pPr>
              <w:spacing w:before="40" w:after="40"/>
              <w:ind w:left="100" w:right="100"/>
              <w:jc w:val="right"/>
            </w:pPr>
            <w:r>
              <w:rPr>
                <w:rFonts w:ascii="Calibri" w:eastAsia="Calibri" w:hAnsi="Calibri" w:cs="Calibri"/>
                <w:color w:val="111111"/>
                <w:sz w:val="18"/>
                <w:szCs w:val="18"/>
              </w:rPr>
              <w:t>0.397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77BDD30" w14:textId="77777777" w:rsidR="002117B2" w:rsidRDefault="00616284">
            <w:pPr>
              <w:spacing w:before="40" w:after="40"/>
              <w:ind w:left="100" w:right="100"/>
              <w:jc w:val="right"/>
            </w:pPr>
            <w:r>
              <w:rPr>
                <w:rFonts w:ascii="Calibri" w:eastAsia="Calibri" w:hAnsi="Calibri" w:cs="Calibri"/>
                <w:color w:val="111111"/>
                <w:sz w:val="18"/>
                <w:szCs w:val="18"/>
              </w:rPr>
              <w:t>0.189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5E15D57" w14:textId="77777777" w:rsidR="002117B2" w:rsidRDefault="00616284">
            <w:pPr>
              <w:spacing w:before="40" w:after="40"/>
              <w:ind w:left="100" w:right="100"/>
              <w:jc w:val="right"/>
            </w:pPr>
            <w:r>
              <w:rPr>
                <w:rFonts w:ascii="Calibri" w:eastAsia="Calibri" w:hAnsi="Calibri" w:cs="Calibri"/>
                <w:color w:val="111111"/>
                <w:sz w:val="18"/>
                <w:szCs w:val="18"/>
              </w:rPr>
              <w:t>0.197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1C6C9D1" w14:textId="77777777" w:rsidR="002117B2" w:rsidRDefault="00616284">
            <w:pPr>
              <w:spacing w:before="40" w:after="40"/>
              <w:ind w:left="100" w:right="100"/>
              <w:jc w:val="right"/>
            </w:pPr>
            <w:r>
              <w:rPr>
                <w:rFonts w:ascii="Calibri" w:eastAsia="Calibri" w:hAnsi="Calibri" w:cs="Calibri"/>
                <w:color w:val="111111"/>
                <w:sz w:val="18"/>
                <w:szCs w:val="18"/>
              </w:rPr>
              <w:t>0.195</w:t>
            </w:r>
          </w:p>
        </w:tc>
      </w:tr>
      <w:tr w:rsidR="002117B2" w14:paraId="18FC527B"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7052165" w14:textId="680E2D12"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ADEE333"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3BF0E9F"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3A09D3D" w14:textId="77777777" w:rsidR="002117B2" w:rsidRDefault="00616284">
            <w:pPr>
              <w:spacing w:before="40" w:after="40"/>
              <w:ind w:left="100" w:right="100"/>
              <w:jc w:val="right"/>
            </w:pPr>
            <w:r>
              <w:rPr>
                <w:rFonts w:ascii="Calibri" w:eastAsia="Calibri" w:hAnsi="Calibri" w:cs="Calibri"/>
                <w:color w:val="111111"/>
                <w:sz w:val="18"/>
                <w:szCs w:val="18"/>
              </w:rPr>
              <w:t>0.310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3BCFED5" w14:textId="77777777" w:rsidR="002117B2" w:rsidRDefault="00616284">
            <w:pPr>
              <w:spacing w:before="40" w:after="40"/>
              <w:ind w:left="100" w:right="100"/>
              <w:jc w:val="right"/>
            </w:pPr>
            <w:r>
              <w:rPr>
                <w:rFonts w:ascii="Calibri" w:eastAsia="Calibri" w:hAnsi="Calibri" w:cs="Calibri"/>
                <w:color w:val="111111"/>
                <w:sz w:val="18"/>
                <w:szCs w:val="18"/>
              </w:rPr>
              <w:t>0.397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4890AC5" w14:textId="77777777" w:rsidR="002117B2" w:rsidRDefault="00616284">
            <w:pPr>
              <w:spacing w:before="40" w:after="40"/>
              <w:ind w:left="100" w:right="100"/>
              <w:jc w:val="right"/>
            </w:pPr>
            <w:r>
              <w:rPr>
                <w:rFonts w:ascii="Calibri" w:eastAsia="Calibri" w:hAnsi="Calibri" w:cs="Calibri"/>
                <w:color w:val="111111"/>
                <w:sz w:val="18"/>
                <w:szCs w:val="18"/>
              </w:rPr>
              <w:t>0.189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86EF5CA" w14:textId="77777777" w:rsidR="002117B2" w:rsidRDefault="00616284">
            <w:pPr>
              <w:spacing w:before="40" w:after="40"/>
              <w:ind w:left="100" w:right="100"/>
              <w:jc w:val="right"/>
            </w:pPr>
            <w:r>
              <w:rPr>
                <w:rFonts w:ascii="Calibri" w:eastAsia="Calibri" w:hAnsi="Calibri" w:cs="Calibri"/>
                <w:color w:val="111111"/>
                <w:sz w:val="18"/>
                <w:szCs w:val="18"/>
              </w:rPr>
              <w:t>0.197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3D83881" w14:textId="77777777" w:rsidR="002117B2" w:rsidRDefault="00616284">
            <w:pPr>
              <w:spacing w:before="40" w:after="40"/>
              <w:ind w:left="100" w:right="100"/>
              <w:jc w:val="right"/>
            </w:pPr>
            <w:r>
              <w:rPr>
                <w:rFonts w:ascii="Calibri" w:eastAsia="Calibri" w:hAnsi="Calibri" w:cs="Calibri"/>
                <w:color w:val="111111"/>
                <w:sz w:val="18"/>
                <w:szCs w:val="18"/>
              </w:rPr>
              <w:t>0.195</w:t>
            </w:r>
          </w:p>
        </w:tc>
      </w:tr>
      <w:tr w:rsidR="002117B2" w14:paraId="2A22E669"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F4F334" w14:textId="77777777" w:rsidR="002117B2" w:rsidRDefault="00616284">
            <w:pPr>
              <w:spacing w:before="40" w:after="40"/>
              <w:ind w:left="100" w:right="100"/>
            </w:pPr>
            <w:r>
              <w:rPr>
                <w:rFonts w:ascii="Calibri" w:eastAsia="Calibri" w:hAnsi="Calibri" w:cs="Calibri"/>
                <w:b/>
                <w:color w:val="111111"/>
                <w:sz w:val="18"/>
                <w:szCs w:val="18"/>
              </w:rPr>
              <w:t>Difference between original estimate and revised estimate provided by Lithuania and accepted by the TERT</w:t>
            </w:r>
          </w:p>
        </w:tc>
      </w:tr>
      <w:tr w:rsidR="002117B2" w14:paraId="1B75D83C"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EE1FCA" w14:textId="77777777" w:rsidR="002117B2" w:rsidRDefault="00616284">
            <w:pPr>
              <w:spacing w:before="40" w:after="40"/>
              <w:ind w:left="100" w:right="100"/>
            </w:pPr>
            <w:r>
              <w:rPr>
                <w:rFonts w:ascii="Calibri" w:eastAsia="Calibri" w:hAnsi="Calibri" w:cs="Calibri"/>
                <w:color w:val="111111"/>
                <w:sz w:val="18"/>
                <w:szCs w:val="18"/>
              </w:rPr>
              <w:t>1B2aiv Fugitive Emissions Oil: Refining / Storage</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465377" w14:textId="77777777" w:rsidR="002117B2" w:rsidRDefault="00616284">
            <w:pPr>
              <w:spacing w:before="40" w:after="40"/>
              <w:ind w:left="100" w:right="100"/>
            </w:pPr>
            <w:r>
              <w:rPr>
                <w:rFonts w:ascii="Calibri" w:eastAsia="Calibri" w:hAnsi="Calibri" w:cs="Calibri"/>
                <w:color w:val="111111"/>
                <w:sz w:val="18"/>
                <w:szCs w:val="18"/>
              </w:rPr>
              <w:t>LT-1B2aiv-2018-0001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FCAFDC"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F3442B" w14:textId="77777777" w:rsidR="002117B2" w:rsidRDefault="00616284">
            <w:pPr>
              <w:spacing w:before="40" w:after="40"/>
              <w:ind w:left="100" w:right="100"/>
              <w:jc w:val="right"/>
            </w:pPr>
            <w:r>
              <w:rPr>
                <w:rFonts w:ascii="Calibri" w:eastAsia="Calibri" w:hAnsi="Calibri" w:cs="Calibri"/>
                <w:color w:val="111111"/>
                <w:sz w:val="18"/>
                <w:szCs w:val="18"/>
              </w:rPr>
              <w:t>0.049</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8AF6C5" w14:textId="77777777" w:rsidR="002117B2" w:rsidRDefault="00616284">
            <w:pPr>
              <w:spacing w:before="40" w:after="40"/>
              <w:ind w:left="100" w:right="100"/>
              <w:jc w:val="right"/>
            </w:pPr>
            <w:r>
              <w:rPr>
                <w:rFonts w:ascii="Calibri" w:eastAsia="Calibri" w:hAnsi="Calibri" w:cs="Calibri"/>
                <w:color w:val="111111"/>
                <w:sz w:val="18"/>
                <w:szCs w:val="18"/>
              </w:rPr>
              <w:t>0.047</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29B28C" w14:textId="77777777" w:rsidR="002117B2" w:rsidRDefault="00616284">
            <w:pPr>
              <w:spacing w:before="40" w:after="40"/>
              <w:ind w:left="100" w:right="100"/>
              <w:jc w:val="right"/>
            </w:pPr>
            <w:r>
              <w:rPr>
                <w:rFonts w:ascii="Calibri" w:eastAsia="Calibri" w:hAnsi="Calibri" w:cs="Calibri"/>
                <w:color w:val="111111"/>
                <w:sz w:val="18"/>
                <w:szCs w:val="18"/>
              </w:rPr>
              <w:t>0.048</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B34335" w14:textId="77777777" w:rsidR="002117B2" w:rsidRDefault="00616284">
            <w:pPr>
              <w:spacing w:before="40" w:after="40"/>
              <w:ind w:left="100" w:right="100"/>
              <w:jc w:val="right"/>
            </w:pPr>
            <w:r>
              <w:rPr>
                <w:rFonts w:ascii="Calibri" w:eastAsia="Calibri" w:hAnsi="Calibri" w:cs="Calibri"/>
                <w:color w:val="111111"/>
                <w:sz w:val="18"/>
                <w:szCs w:val="18"/>
              </w:rPr>
              <w:t>0.050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261163" w14:textId="77777777" w:rsidR="002117B2" w:rsidRDefault="00616284">
            <w:pPr>
              <w:spacing w:before="40" w:after="40"/>
              <w:ind w:left="100" w:right="100"/>
              <w:jc w:val="right"/>
            </w:pPr>
            <w:r>
              <w:rPr>
                <w:rFonts w:ascii="Calibri" w:eastAsia="Calibri" w:hAnsi="Calibri" w:cs="Calibri"/>
                <w:color w:val="111111"/>
                <w:sz w:val="18"/>
                <w:szCs w:val="18"/>
              </w:rPr>
              <w:t>0.049</w:t>
            </w:r>
          </w:p>
        </w:tc>
      </w:tr>
      <w:tr w:rsidR="002117B2" w14:paraId="0CF3B051"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2F54466" w14:textId="77777777" w:rsidR="002117B2" w:rsidRDefault="00616284">
            <w:pPr>
              <w:spacing w:before="40" w:after="40"/>
              <w:ind w:left="100" w:right="100"/>
            </w:pPr>
            <w:r>
              <w:rPr>
                <w:rFonts w:ascii="Calibri" w:eastAsia="Calibri" w:hAnsi="Calibri" w:cs="Calibri"/>
                <w:color w:val="111111"/>
                <w:sz w:val="18"/>
                <w:szCs w:val="18"/>
              </w:rPr>
              <w:t>National total (row 141) including revised estimates and technical corrections accepted by Lithuania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64DC549"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0965F41" w14:textId="77777777" w:rsidR="002117B2" w:rsidRDefault="00616284">
            <w:pPr>
              <w:spacing w:before="40" w:after="40"/>
              <w:ind w:left="100" w:right="100"/>
              <w:jc w:val="right"/>
            </w:pPr>
            <w:r>
              <w:rPr>
                <w:rFonts w:ascii="Calibri" w:eastAsia="Calibri" w:hAnsi="Calibri" w:cs="Calibri"/>
                <w:color w:val="111111"/>
                <w:sz w:val="18"/>
                <w:szCs w:val="18"/>
              </w:rPr>
              <w:t>0.358</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3D1235F" w14:textId="77777777" w:rsidR="002117B2" w:rsidRDefault="00616284">
            <w:pPr>
              <w:spacing w:before="40" w:after="40"/>
              <w:ind w:left="100" w:right="100"/>
              <w:jc w:val="right"/>
            </w:pPr>
            <w:r>
              <w:rPr>
                <w:rFonts w:ascii="Calibri" w:eastAsia="Calibri" w:hAnsi="Calibri" w:cs="Calibri"/>
                <w:color w:val="111111"/>
                <w:sz w:val="18"/>
                <w:szCs w:val="18"/>
              </w:rPr>
              <w:t>0.444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946B66B" w14:textId="77777777" w:rsidR="002117B2" w:rsidRDefault="00616284">
            <w:pPr>
              <w:spacing w:before="40" w:after="40"/>
              <w:ind w:left="100" w:right="100"/>
              <w:jc w:val="right"/>
            </w:pPr>
            <w:r>
              <w:rPr>
                <w:rFonts w:ascii="Calibri" w:eastAsia="Calibri" w:hAnsi="Calibri" w:cs="Calibri"/>
                <w:color w:val="111111"/>
                <w:sz w:val="18"/>
                <w:szCs w:val="18"/>
              </w:rPr>
              <w:t>0.237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8D12EF1" w14:textId="77777777" w:rsidR="002117B2" w:rsidRDefault="00616284">
            <w:pPr>
              <w:spacing w:before="40" w:after="40"/>
              <w:ind w:left="100" w:right="100"/>
              <w:jc w:val="right"/>
            </w:pPr>
            <w:r>
              <w:rPr>
                <w:rFonts w:ascii="Calibri" w:eastAsia="Calibri" w:hAnsi="Calibri" w:cs="Calibri"/>
                <w:color w:val="111111"/>
                <w:sz w:val="18"/>
                <w:szCs w:val="18"/>
              </w:rPr>
              <w:t>0.247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C02A7FE" w14:textId="77777777" w:rsidR="002117B2" w:rsidRDefault="00616284">
            <w:pPr>
              <w:spacing w:before="40" w:after="40"/>
              <w:ind w:left="100" w:right="100"/>
              <w:jc w:val="right"/>
            </w:pPr>
            <w:r>
              <w:rPr>
                <w:rFonts w:ascii="Calibri" w:eastAsia="Calibri" w:hAnsi="Calibri" w:cs="Calibri"/>
                <w:color w:val="111111"/>
                <w:sz w:val="18"/>
                <w:szCs w:val="18"/>
              </w:rPr>
              <w:t>0.244</w:t>
            </w:r>
          </w:p>
        </w:tc>
      </w:tr>
      <w:tr w:rsidR="002117B2" w14:paraId="25C6BBEF"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BBFBC69" w14:textId="7F1C86CA"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 estimate including revised estimates, technical corrections accepted by Lithuania and adjustments recommended (by technical expert review team) to be accepted by EC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5ABEFB3"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0175AB4" w14:textId="77777777" w:rsidR="002117B2" w:rsidRDefault="00616284">
            <w:pPr>
              <w:spacing w:before="40" w:after="40"/>
              <w:ind w:left="100" w:right="100"/>
              <w:jc w:val="right"/>
            </w:pPr>
            <w:r>
              <w:rPr>
                <w:rFonts w:ascii="Calibri" w:eastAsia="Calibri" w:hAnsi="Calibri" w:cs="Calibri"/>
                <w:color w:val="111111"/>
                <w:sz w:val="18"/>
                <w:szCs w:val="18"/>
              </w:rPr>
              <w:t>0.358</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AFF7978" w14:textId="77777777" w:rsidR="002117B2" w:rsidRDefault="00616284">
            <w:pPr>
              <w:spacing w:before="40" w:after="40"/>
              <w:ind w:left="100" w:right="100"/>
              <w:jc w:val="right"/>
            </w:pPr>
            <w:r>
              <w:rPr>
                <w:rFonts w:ascii="Calibri" w:eastAsia="Calibri" w:hAnsi="Calibri" w:cs="Calibri"/>
                <w:color w:val="111111"/>
                <w:sz w:val="18"/>
                <w:szCs w:val="18"/>
              </w:rPr>
              <w:t>0.444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5E3AE6A" w14:textId="77777777" w:rsidR="002117B2" w:rsidRDefault="00616284">
            <w:pPr>
              <w:spacing w:before="40" w:after="40"/>
              <w:ind w:left="100" w:right="100"/>
              <w:jc w:val="right"/>
            </w:pPr>
            <w:r>
              <w:rPr>
                <w:rFonts w:ascii="Calibri" w:eastAsia="Calibri" w:hAnsi="Calibri" w:cs="Calibri"/>
                <w:color w:val="111111"/>
                <w:sz w:val="18"/>
                <w:szCs w:val="18"/>
              </w:rPr>
              <w:t>0.237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0AA6C65E" w14:textId="77777777" w:rsidR="002117B2" w:rsidRDefault="00616284">
            <w:pPr>
              <w:spacing w:before="40" w:after="40"/>
              <w:ind w:left="100" w:right="100"/>
              <w:jc w:val="right"/>
            </w:pPr>
            <w:r>
              <w:rPr>
                <w:rFonts w:ascii="Calibri" w:eastAsia="Calibri" w:hAnsi="Calibri" w:cs="Calibri"/>
                <w:color w:val="111111"/>
                <w:sz w:val="18"/>
                <w:szCs w:val="18"/>
              </w:rPr>
              <w:t>0.247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B14BDEB" w14:textId="77777777" w:rsidR="002117B2" w:rsidRDefault="00616284">
            <w:pPr>
              <w:spacing w:before="40" w:after="40"/>
              <w:ind w:left="100" w:right="100"/>
              <w:jc w:val="right"/>
            </w:pPr>
            <w:r>
              <w:rPr>
                <w:rFonts w:ascii="Calibri" w:eastAsia="Calibri" w:hAnsi="Calibri" w:cs="Calibri"/>
                <w:color w:val="111111"/>
                <w:sz w:val="18"/>
                <w:szCs w:val="18"/>
              </w:rPr>
              <w:t>0.244</w:t>
            </w:r>
          </w:p>
        </w:tc>
      </w:tr>
      <w:tr w:rsidR="002117B2" w14:paraId="1AF422C3"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8DAADE"/>
            <w:tcMar>
              <w:top w:w="0" w:type="dxa"/>
              <w:left w:w="0" w:type="dxa"/>
              <w:bottom w:w="0" w:type="dxa"/>
              <w:right w:w="0" w:type="dxa"/>
            </w:tcMar>
            <w:vAlign w:val="center"/>
          </w:tcPr>
          <w:p w14:paraId="54249850" w14:textId="77777777" w:rsidR="002117B2" w:rsidRDefault="00616284">
            <w:pPr>
              <w:spacing w:before="40" w:after="40"/>
              <w:ind w:left="100" w:right="100"/>
            </w:pPr>
            <w:r>
              <w:rPr>
                <w:rFonts w:ascii="Calibri" w:eastAsia="Calibri" w:hAnsi="Calibri" w:cs="Calibri"/>
                <w:b/>
                <w:color w:val="111111"/>
                <w:sz w:val="18"/>
                <w:szCs w:val="18"/>
              </w:rPr>
              <w:t>Hg</w:t>
            </w:r>
          </w:p>
        </w:tc>
      </w:tr>
      <w:tr w:rsidR="002117B2" w14:paraId="673CB05B"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2E64352" w14:textId="77777777" w:rsidR="002117B2" w:rsidRDefault="00616284">
            <w:pPr>
              <w:spacing w:before="40" w:after="40"/>
              <w:ind w:left="100" w:right="100"/>
            </w:pPr>
            <w:r>
              <w:rPr>
                <w:rFonts w:ascii="Calibri" w:eastAsia="Calibri" w:hAnsi="Calibri" w:cs="Calibri"/>
                <w:color w:val="111111"/>
                <w:sz w:val="18"/>
                <w:szCs w:val="18"/>
              </w:rPr>
              <w:t>National total (row 141)</w:t>
            </w:r>
          </w:p>
        </w:tc>
        <w:tc>
          <w:tcPr>
            <w:tcW w:w="2016"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6B16845"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EFA03D9"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8725B26" w14:textId="77777777" w:rsidR="002117B2" w:rsidRDefault="00616284">
            <w:pPr>
              <w:spacing w:before="40" w:after="40"/>
              <w:ind w:left="100" w:right="100"/>
              <w:jc w:val="right"/>
            </w:pPr>
            <w:r>
              <w:rPr>
                <w:rFonts w:ascii="Calibri" w:eastAsia="Calibri" w:hAnsi="Calibri" w:cs="Calibri"/>
                <w:color w:val="111111"/>
                <w:sz w:val="18"/>
                <w:szCs w:val="18"/>
              </w:rPr>
              <w:t>0.463</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61F86F0" w14:textId="77777777" w:rsidR="002117B2" w:rsidRDefault="00616284">
            <w:pPr>
              <w:spacing w:before="40" w:after="40"/>
              <w:ind w:left="100" w:right="100"/>
              <w:jc w:val="right"/>
            </w:pPr>
            <w:r>
              <w:rPr>
                <w:rFonts w:ascii="Calibri" w:eastAsia="Calibri" w:hAnsi="Calibri" w:cs="Calibri"/>
                <w:color w:val="111111"/>
                <w:sz w:val="18"/>
                <w:szCs w:val="18"/>
              </w:rPr>
              <w:t>0.339</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42887FA0" w14:textId="77777777" w:rsidR="002117B2" w:rsidRDefault="00616284">
            <w:pPr>
              <w:spacing w:before="40" w:after="40"/>
              <w:ind w:left="100" w:right="100"/>
              <w:jc w:val="right"/>
            </w:pPr>
            <w:r>
              <w:rPr>
                <w:rFonts w:ascii="Calibri" w:eastAsia="Calibri" w:hAnsi="Calibri" w:cs="Calibri"/>
                <w:color w:val="111111"/>
                <w:sz w:val="18"/>
                <w:szCs w:val="18"/>
              </w:rPr>
              <w:t>0.134</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995002F" w14:textId="77777777" w:rsidR="002117B2" w:rsidRDefault="00616284">
            <w:pPr>
              <w:spacing w:before="40" w:after="40"/>
              <w:ind w:left="100" w:right="100"/>
              <w:jc w:val="right"/>
            </w:pPr>
            <w:r>
              <w:rPr>
                <w:rFonts w:ascii="Calibri" w:eastAsia="Calibri" w:hAnsi="Calibri" w:cs="Calibri"/>
                <w:color w:val="111111"/>
                <w:sz w:val="18"/>
                <w:szCs w:val="18"/>
              </w:rPr>
              <w:t>0.137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3434C37F" w14:textId="77777777" w:rsidR="002117B2" w:rsidRDefault="00616284">
            <w:pPr>
              <w:spacing w:before="40" w:after="40"/>
              <w:ind w:left="100" w:right="100"/>
              <w:jc w:val="right"/>
            </w:pPr>
            <w:r>
              <w:rPr>
                <w:rFonts w:ascii="Calibri" w:eastAsia="Calibri" w:hAnsi="Calibri" w:cs="Calibri"/>
                <w:color w:val="111111"/>
                <w:sz w:val="18"/>
                <w:szCs w:val="18"/>
              </w:rPr>
              <w:t>0.142</w:t>
            </w:r>
          </w:p>
        </w:tc>
      </w:tr>
      <w:tr w:rsidR="002117B2" w14:paraId="611A3C12"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E468F5E" w14:textId="3D557FC4"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w:t>
            </w:r>
          </w:p>
        </w:tc>
        <w:tc>
          <w:tcPr>
            <w:tcW w:w="2016"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3F6C9BD" w14:textId="77777777" w:rsidR="002117B2" w:rsidRDefault="00616284">
            <w:pPr>
              <w:spacing w:before="40" w:after="40"/>
              <w:ind w:left="100" w:right="100"/>
            </w:pPr>
            <w:r>
              <w:rPr>
                <w:rFonts w:ascii="Calibri" w:eastAsia="Calibri" w:hAnsi="Calibri" w:cs="Calibri"/>
                <w:color w:val="111111"/>
                <w:sz w:val="18"/>
                <w:szCs w:val="18"/>
              </w:rPr>
              <w:t>Annex I, 14/03/2020</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DA62129"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6953295D" w14:textId="77777777" w:rsidR="002117B2" w:rsidRDefault="00616284">
            <w:pPr>
              <w:spacing w:before="40" w:after="40"/>
              <w:ind w:left="100" w:right="100"/>
              <w:jc w:val="right"/>
            </w:pPr>
            <w:r>
              <w:rPr>
                <w:rFonts w:ascii="Calibri" w:eastAsia="Calibri" w:hAnsi="Calibri" w:cs="Calibri"/>
                <w:color w:val="111111"/>
                <w:sz w:val="18"/>
                <w:szCs w:val="18"/>
              </w:rPr>
              <w:t>0.463</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666BE36" w14:textId="77777777" w:rsidR="002117B2" w:rsidRDefault="00616284">
            <w:pPr>
              <w:spacing w:before="40" w:after="40"/>
              <w:ind w:left="100" w:right="100"/>
              <w:jc w:val="right"/>
            </w:pPr>
            <w:r>
              <w:rPr>
                <w:rFonts w:ascii="Calibri" w:eastAsia="Calibri" w:hAnsi="Calibri" w:cs="Calibri"/>
                <w:color w:val="111111"/>
                <w:sz w:val="18"/>
                <w:szCs w:val="18"/>
              </w:rPr>
              <w:t>0.339</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E9BE6E6" w14:textId="77777777" w:rsidR="002117B2" w:rsidRDefault="00616284">
            <w:pPr>
              <w:spacing w:before="40" w:after="40"/>
              <w:ind w:left="100" w:right="100"/>
              <w:jc w:val="right"/>
            </w:pPr>
            <w:r>
              <w:rPr>
                <w:rFonts w:ascii="Calibri" w:eastAsia="Calibri" w:hAnsi="Calibri" w:cs="Calibri"/>
                <w:color w:val="111111"/>
                <w:sz w:val="18"/>
                <w:szCs w:val="18"/>
              </w:rPr>
              <w:t>0.134</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5DF5D1C1" w14:textId="77777777" w:rsidR="002117B2" w:rsidRDefault="00616284">
            <w:pPr>
              <w:spacing w:before="40" w:after="40"/>
              <w:ind w:left="100" w:right="100"/>
              <w:jc w:val="right"/>
            </w:pPr>
            <w:r>
              <w:rPr>
                <w:rFonts w:ascii="Calibri" w:eastAsia="Calibri" w:hAnsi="Calibri" w:cs="Calibri"/>
                <w:color w:val="111111"/>
                <w:sz w:val="18"/>
                <w:szCs w:val="18"/>
              </w:rPr>
              <w:t>0.137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A7CCEE7" w14:textId="77777777" w:rsidR="002117B2" w:rsidRDefault="00616284">
            <w:pPr>
              <w:spacing w:before="40" w:after="40"/>
              <w:ind w:left="100" w:right="100"/>
              <w:jc w:val="right"/>
            </w:pPr>
            <w:r>
              <w:rPr>
                <w:rFonts w:ascii="Calibri" w:eastAsia="Calibri" w:hAnsi="Calibri" w:cs="Calibri"/>
                <w:color w:val="111111"/>
                <w:sz w:val="18"/>
                <w:szCs w:val="18"/>
              </w:rPr>
              <w:t>0.142</w:t>
            </w:r>
          </w:p>
        </w:tc>
      </w:tr>
      <w:tr w:rsidR="002117B2" w14:paraId="23B83600" w14:textId="77777777">
        <w:trPr>
          <w:cantSplit/>
          <w:jc w:val="center"/>
        </w:trPr>
        <w:tc>
          <w:tcPr>
            <w:tcW w:w="936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7F7BAB" w14:textId="77777777" w:rsidR="002117B2" w:rsidRDefault="00616284">
            <w:pPr>
              <w:spacing w:before="40" w:after="40"/>
              <w:ind w:left="100" w:right="100"/>
            </w:pPr>
            <w:r>
              <w:rPr>
                <w:rFonts w:ascii="Calibri" w:eastAsia="Calibri" w:hAnsi="Calibri" w:cs="Calibri"/>
                <w:b/>
                <w:color w:val="111111"/>
                <w:sz w:val="18"/>
                <w:szCs w:val="18"/>
              </w:rPr>
              <w:t>Difference between original estimate and revised estimate provided by Lithuania and accepted by the TERT</w:t>
            </w:r>
          </w:p>
        </w:tc>
      </w:tr>
      <w:tr w:rsidR="002117B2" w14:paraId="2029CE69" w14:textId="77777777">
        <w:trPr>
          <w:cantSplit/>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FC6089" w14:textId="77777777" w:rsidR="002117B2" w:rsidRDefault="00616284">
            <w:pPr>
              <w:spacing w:before="40" w:after="40"/>
              <w:ind w:left="100" w:right="100"/>
            </w:pPr>
            <w:r>
              <w:rPr>
                <w:rFonts w:ascii="Calibri" w:eastAsia="Calibri" w:hAnsi="Calibri" w:cs="Calibri"/>
                <w:color w:val="111111"/>
                <w:sz w:val="18"/>
                <w:szCs w:val="18"/>
              </w:rPr>
              <w:t>1B2aiv Fugitive Emissions Oil: Refining / Storage</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104D00" w14:textId="77777777" w:rsidR="002117B2" w:rsidRDefault="00616284">
            <w:pPr>
              <w:spacing w:before="40" w:after="40"/>
              <w:ind w:left="100" w:right="100"/>
            </w:pPr>
            <w:r>
              <w:rPr>
                <w:rFonts w:ascii="Calibri" w:eastAsia="Calibri" w:hAnsi="Calibri" w:cs="Calibri"/>
                <w:color w:val="111111"/>
                <w:sz w:val="18"/>
                <w:szCs w:val="18"/>
              </w:rPr>
              <w:t>LT-1B2aiv-2018-0001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66BBC2"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3DFB9D" w14:textId="77777777" w:rsidR="002117B2" w:rsidRDefault="00616284">
            <w:pPr>
              <w:spacing w:before="40" w:after="40"/>
              <w:ind w:left="100" w:right="100"/>
              <w:jc w:val="right"/>
            </w:pPr>
            <w:r>
              <w:rPr>
                <w:rFonts w:ascii="Calibri" w:eastAsia="Calibri" w:hAnsi="Calibri" w:cs="Calibri"/>
                <w:color w:val="111111"/>
                <w:sz w:val="18"/>
                <w:szCs w:val="18"/>
              </w:rPr>
              <w:t>0.049</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EA6C83" w14:textId="77777777" w:rsidR="002117B2" w:rsidRDefault="00616284">
            <w:pPr>
              <w:spacing w:before="40" w:after="40"/>
              <w:ind w:left="100" w:right="100"/>
              <w:jc w:val="right"/>
            </w:pPr>
            <w:r>
              <w:rPr>
                <w:rFonts w:ascii="Calibri" w:eastAsia="Calibri" w:hAnsi="Calibri" w:cs="Calibri"/>
                <w:color w:val="111111"/>
                <w:sz w:val="18"/>
                <w:szCs w:val="18"/>
              </w:rPr>
              <w:t>0.047</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519317" w14:textId="77777777" w:rsidR="002117B2" w:rsidRDefault="00616284">
            <w:pPr>
              <w:spacing w:before="40" w:after="40"/>
              <w:ind w:left="100" w:right="100"/>
              <w:jc w:val="right"/>
            </w:pPr>
            <w:r>
              <w:rPr>
                <w:rFonts w:ascii="Calibri" w:eastAsia="Calibri" w:hAnsi="Calibri" w:cs="Calibri"/>
                <w:color w:val="111111"/>
                <w:sz w:val="18"/>
                <w:szCs w:val="18"/>
              </w:rPr>
              <w:t>0.048</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84A75B" w14:textId="77777777" w:rsidR="002117B2" w:rsidRDefault="00616284">
            <w:pPr>
              <w:spacing w:before="40" w:after="40"/>
              <w:ind w:left="100" w:right="100"/>
              <w:jc w:val="right"/>
            </w:pPr>
            <w:r>
              <w:rPr>
                <w:rFonts w:ascii="Calibri" w:eastAsia="Calibri" w:hAnsi="Calibri" w:cs="Calibri"/>
                <w:color w:val="111111"/>
                <w:sz w:val="18"/>
                <w:szCs w:val="18"/>
              </w:rPr>
              <w:t>0.050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152B45" w14:textId="77777777" w:rsidR="002117B2" w:rsidRDefault="00616284">
            <w:pPr>
              <w:spacing w:before="40" w:after="40"/>
              <w:ind w:left="100" w:right="100"/>
              <w:jc w:val="right"/>
            </w:pPr>
            <w:r>
              <w:rPr>
                <w:rFonts w:ascii="Calibri" w:eastAsia="Calibri" w:hAnsi="Calibri" w:cs="Calibri"/>
                <w:color w:val="111111"/>
                <w:sz w:val="18"/>
                <w:szCs w:val="18"/>
              </w:rPr>
              <w:t>0.049</w:t>
            </w:r>
          </w:p>
        </w:tc>
      </w:tr>
      <w:tr w:rsidR="002117B2" w14:paraId="372F6BA7"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EE04B89" w14:textId="77777777" w:rsidR="002117B2" w:rsidRDefault="00616284">
            <w:pPr>
              <w:spacing w:before="40" w:after="40"/>
              <w:ind w:left="100" w:right="100"/>
            </w:pPr>
            <w:r>
              <w:rPr>
                <w:rFonts w:ascii="Calibri" w:eastAsia="Calibri" w:hAnsi="Calibri" w:cs="Calibri"/>
                <w:color w:val="111111"/>
                <w:sz w:val="18"/>
                <w:szCs w:val="18"/>
              </w:rPr>
              <w:t>National total (row 141) including revised estimates and technical corrections accepted by Lithuania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7DBECC37"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1BAD4727" w14:textId="77777777" w:rsidR="002117B2" w:rsidRDefault="00616284">
            <w:pPr>
              <w:spacing w:before="40" w:after="40"/>
              <w:ind w:left="100" w:right="100"/>
              <w:jc w:val="right"/>
            </w:pPr>
            <w:r>
              <w:rPr>
                <w:rFonts w:ascii="Calibri" w:eastAsia="Calibri" w:hAnsi="Calibri" w:cs="Calibri"/>
                <w:color w:val="111111"/>
                <w:sz w:val="18"/>
                <w:szCs w:val="18"/>
              </w:rPr>
              <w:t>0.512</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618F6FAB" w14:textId="77777777" w:rsidR="002117B2" w:rsidRDefault="00616284">
            <w:pPr>
              <w:spacing w:before="40" w:after="40"/>
              <w:ind w:left="100" w:right="100"/>
              <w:jc w:val="right"/>
            </w:pPr>
            <w:r>
              <w:rPr>
                <w:rFonts w:ascii="Calibri" w:eastAsia="Calibri" w:hAnsi="Calibri" w:cs="Calibri"/>
                <w:color w:val="111111"/>
                <w:sz w:val="18"/>
                <w:szCs w:val="18"/>
              </w:rPr>
              <w:t>0.385</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56BBDE6B" w14:textId="77777777" w:rsidR="002117B2" w:rsidRDefault="00616284">
            <w:pPr>
              <w:spacing w:before="40" w:after="40"/>
              <w:ind w:left="100" w:right="100"/>
              <w:jc w:val="right"/>
            </w:pPr>
            <w:r>
              <w:rPr>
                <w:rFonts w:ascii="Calibri" w:eastAsia="Calibri" w:hAnsi="Calibri" w:cs="Calibri"/>
                <w:color w:val="111111"/>
                <w:sz w:val="18"/>
                <w:szCs w:val="18"/>
              </w:rPr>
              <w:t>0.182</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00508CE9" w14:textId="77777777" w:rsidR="002117B2" w:rsidRDefault="00616284">
            <w:pPr>
              <w:spacing w:before="40" w:after="40"/>
              <w:ind w:left="100" w:right="100"/>
              <w:jc w:val="right"/>
            </w:pPr>
            <w:r>
              <w:rPr>
                <w:rFonts w:ascii="Calibri" w:eastAsia="Calibri" w:hAnsi="Calibri" w:cs="Calibri"/>
                <w:color w:val="111111"/>
                <w:sz w:val="18"/>
                <w:szCs w:val="18"/>
              </w:rPr>
              <w:t>0.187</w:t>
            </w:r>
          </w:p>
        </w:tc>
        <w:tc>
          <w:tcPr>
            <w:tcW w:w="864" w:type="dxa"/>
            <w:tcBorders>
              <w:top w:val="single" w:sz="8" w:space="0" w:color="000000"/>
              <w:left w:val="single" w:sz="8" w:space="0" w:color="000000"/>
              <w:bottom w:val="single" w:sz="8" w:space="0" w:color="000000"/>
              <w:right w:val="single" w:sz="8" w:space="0" w:color="000000"/>
            </w:tcBorders>
            <w:shd w:val="clear" w:color="auto" w:fill="DEE3F6"/>
            <w:tcMar>
              <w:top w:w="0" w:type="dxa"/>
              <w:left w:w="0" w:type="dxa"/>
              <w:bottom w:w="0" w:type="dxa"/>
              <w:right w:w="0" w:type="dxa"/>
            </w:tcMar>
            <w:vAlign w:val="center"/>
          </w:tcPr>
          <w:p w14:paraId="2D3A788C" w14:textId="77777777" w:rsidR="002117B2" w:rsidRDefault="00616284">
            <w:pPr>
              <w:spacing w:before="40" w:after="40"/>
              <w:ind w:left="100" w:right="100"/>
              <w:jc w:val="right"/>
            </w:pPr>
            <w:r>
              <w:rPr>
                <w:rFonts w:ascii="Calibri" w:eastAsia="Calibri" w:hAnsi="Calibri" w:cs="Calibri"/>
                <w:color w:val="111111"/>
                <w:sz w:val="18"/>
                <w:szCs w:val="18"/>
              </w:rPr>
              <w:t>0.192</w:t>
            </w:r>
          </w:p>
        </w:tc>
      </w:tr>
      <w:tr w:rsidR="002117B2" w14:paraId="17C99945" w14:textId="77777777">
        <w:trPr>
          <w:cantSplit/>
          <w:jc w:val="center"/>
        </w:trPr>
        <w:tc>
          <w:tcPr>
            <w:tcW w:w="4176" w:type="dxa"/>
            <w:gridSpan w:val="2"/>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3141B0E6" w14:textId="4714F447" w:rsidR="002117B2" w:rsidRDefault="00616284">
            <w:pPr>
              <w:spacing w:before="40" w:after="40"/>
              <w:ind w:left="100" w:right="100"/>
            </w:pPr>
            <w:r>
              <w:rPr>
                <w:rFonts w:ascii="Calibri" w:eastAsia="Calibri" w:hAnsi="Calibri" w:cs="Calibri"/>
                <w:color w:val="111111"/>
                <w:sz w:val="18"/>
                <w:szCs w:val="18"/>
              </w:rPr>
              <w:t xml:space="preserve">National Total for Compliance (row </w:t>
            </w:r>
            <w:r w:rsidR="00CB12E5">
              <w:rPr>
                <w:rFonts w:ascii="Calibri" w:eastAsia="Calibri" w:hAnsi="Calibri" w:cs="Calibri"/>
                <w:color w:val="111111"/>
                <w:sz w:val="18"/>
                <w:szCs w:val="18"/>
              </w:rPr>
              <w:t>154</w:t>
            </w:r>
            <w:r>
              <w:rPr>
                <w:rFonts w:ascii="Calibri" w:eastAsia="Calibri" w:hAnsi="Calibri" w:cs="Calibri"/>
                <w:color w:val="111111"/>
                <w:sz w:val="18"/>
                <w:szCs w:val="18"/>
              </w:rPr>
              <w:t>) estimate including revised estimates, technical corrections accepted by Lithuania and adjustments recommended (by technical expert review team) to be accepted by EC (calculated using data above)</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02C291E" w14:textId="77777777" w:rsidR="002117B2" w:rsidRDefault="00616284">
            <w:pPr>
              <w:spacing w:before="40" w:after="40"/>
              <w:ind w:left="100" w:right="100"/>
              <w:jc w:val="right"/>
            </w:pPr>
            <w:r>
              <w:rPr>
                <w:rFonts w:ascii="Calibri" w:eastAsia="Calibri" w:hAnsi="Calibri" w:cs="Calibri"/>
                <w:color w:val="111111"/>
                <w:sz w:val="18"/>
                <w:szCs w:val="18"/>
              </w:rPr>
              <w:t>(t)</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79323B43" w14:textId="77777777" w:rsidR="002117B2" w:rsidRDefault="00616284">
            <w:pPr>
              <w:spacing w:before="40" w:after="40"/>
              <w:ind w:left="100" w:right="100"/>
              <w:jc w:val="right"/>
            </w:pPr>
            <w:r>
              <w:rPr>
                <w:rFonts w:ascii="Calibri" w:eastAsia="Calibri" w:hAnsi="Calibri" w:cs="Calibri"/>
                <w:color w:val="111111"/>
                <w:sz w:val="18"/>
                <w:szCs w:val="18"/>
              </w:rPr>
              <w:t>0.512</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718719A" w14:textId="77777777" w:rsidR="002117B2" w:rsidRDefault="00616284">
            <w:pPr>
              <w:spacing w:before="40" w:after="40"/>
              <w:ind w:left="100" w:right="100"/>
              <w:jc w:val="right"/>
            </w:pPr>
            <w:r>
              <w:rPr>
                <w:rFonts w:ascii="Calibri" w:eastAsia="Calibri" w:hAnsi="Calibri" w:cs="Calibri"/>
                <w:color w:val="111111"/>
                <w:sz w:val="18"/>
                <w:szCs w:val="18"/>
              </w:rPr>
              <w:t>0.385</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1FCAE8F4" w14:textId="77777777" w:rsidR="002117B2" w:rsidRDefault="00616284">
            <w:pPr>
              <w:spacing w:before="40" w:after="40"/>
              <w:ind w:left="100" w:right="100"/>
              <w:jc w:val="right"/>
            </w:pPr>
            <w:r>
              <w:rPr>
                <w:rFonts w:ascii="Calibri" w:eastAsia="Calibri" w:hAnsi="Calibri" w:cs="Calibri"/>
                <w:color w:val="111111"/>
                <w:sz w:val="18"/>
                <w:szCs w:val="18"/>
              </w:rPr>
              <w:t>0.182</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4657A179" w14:textId="77777777" w:rsidR="002117B2" w:rsidRDefault="00616284">
            <w:pPr>
              <w:spacing w:before="40" w:after="40"/>
              <w:ind w:left="100" w:right="100"/>
              <w:jc w:val="right"/>
            </w:pPr>
            <w:r>
              <w:rPr>
                <w:rFonts w:ascii="Calibri" w:eastAsia="Calibri" w:hAnsi="Calibri" w:cs="Calibri"/>
                <w:color w:val="111111"/>
                <w:sz w:val="18"/>
                <w:szCs w:val="18"/>
              </w:rPr>
              <w:t>0.187</w:t>
            </w:r>
          </w:p>
        </w:tc>
        <w:tc>
          <w:tcPr>
            <w:tcW w:w="864" w:type="dxa"/>
            <w:tcBorders>
              <w:top w:val="single" w:sz="8" w:space="0" w:color="000000"/>
              <w:left w:val="single" w:sz="8" w:space="0" w:color="000000"/>
              <w:bottom w:val="single" w:sz="8" w:space="0" w:color="000000"/>
              <w:right w:val="single" w:sz="8" w:space="0" w:color="000000"/>
            </w:tcBorders>
            <w:shd w:val="clear" w:color="auto" w:fill="C5E0B7"/>
            <w:tcMar>
              <w:top w:w="0" w:type="dxa"/>
              <w:left w:w="0" w:type="dxa"/>
              <w:bottom w:w="0" w:type="dxa"/>
              <w:right w:w="0" w:type="dxa"/>
            </w:tcMar>
            <w:vAlign w:val="center"/>
          </w:tcPr>
          <w:p w14:paraId="2ADA67B7" w14:textId="77777777" w:rsidR="002117B2" w:rsidRDefault="00616284">
            <w:pPr>
              <w:spacing w:before="40" w:after="40"/>
              <w:ind w:left="100" w:right="100"/>
              <w:jc w:val="right"/>
            </w:pPr>
            <w:r>
              <w:rPr>
                <w:rFonts w:ascii="Calibri" w:eastAsia="Calibri" w:hAnsi="Calibri" w:cs="Calibri"/>
                <w:color w:val="111111"/>
                <w:sz w:val="18"/>
                <w:szCs w:val="18"/>
              </w:rPr>
              <w:t>0.192</w:t>
            </w:r>
          </w:p>
        </w:tc>
      </w:tr>
    </w:tbl>
    <w:p w14:paraId="2C09B1FA" w14:textId="77777777" w:rsidR="002A2E18" w:rsidRDefault="002A2E18">
      <w:pPr>
        <w:rPr>
          <w:rFonts w:asciiTheme="majorHAnsi" w:eastAsiaTheme="majorEastAsia" w:hAnsiTheme="majorHAnsi" w:cstheme="majorBidi"/>
          <w:color w:val="2E74B5" w:themeColor="accent1" w:themeShade="BF"/>
          <w:sz w:val="32"/>
          <w:szCs w:val="32"/>
        </w:rPr>
      </w:pPr>
      <w:bookmarkStart w:id="40" w:name="_Toc507765917"/>
      <w:r>
        <w:br w:type="page"/>
      </w:r>
    </w:p>
    <w:p w14:paraId="0AFD895B" w14:textId="77777777" w:rsidR="00430F14" w:rsidRPr="007B60E9" w:rsidRDefault="00430F14" w:rsidP="007B60E9">
      <w:pPr>
        <w:pStyle w:val="Antrat1"/>
      </w:pPr>
      <w:bookmarkStart w:id="41" w:name="_Toc53738312"/>
      <w:r w:rsidRPr="007B60E9">
        <w:t xml:space="preserve">Statement from </w:t>
      </w:r>
      <w:r w:rsidR="00E3069C">
        <w:t>Lithuania</w:t>
      </w:r>
      <w:r w:rsidRPr="007B60E9">
        <w:t xml:space="preserve"> on the conclusions presented by the </w:t>
      </w:r>
      <w:r w:rsidR="002F5A30" w:rsidRPr="007B60E9">
        <w:t>technical expert review team</w:t>
      </w:r>
      <w:bookmarkEnd w:id="40"/>
      <w:bookmarkEnd w:id="41"/>
    </w:p>
    <w:p w14:paraId="3B8B311D" w14:textId="36CAD271" w:rsidR="00DE016D" w:rsidRDefault="009C6932" w:rsidP="000C52B2">
      <w:pPr>
        <w:pStyle w:val="StandardNum"/>
        <w:ind w:left="0"/>
        <w:rPr>
          <w:rFonts w:asciiTheme="minorHAnsi" w:eastAsiaTheme="minorEastAsia" w:hAnsiTheme="minorHAnsi" w:cstheme="minorBidi"/>
        </w:rPr>
      </w:pPr>
      <w:r>
        <w:t xml:space="preserve">Lithuania </w:t>
      </w:r>
      <w:r w:rsidR="628035B5" w:rsidRPr="2B6A7423">
        <w:rPr>
          <w:rFonts w:eastAsia="Calibri" w:cs="Calibri"/>
        </w:rPr>
        <w:t>did not raise any issues with the calculated estimates</w:t>
      </w:r>
      <w:r w:rsidR="00430F14">
        <w:t xml:space="preserve"> in</w:t>
      </w:r>
      <w:r w:rsidR="00212D43">
        <w:t xml:space="preserve"> </w:t>
      </w:r>
      <w:r>
        <w:fldChar w:fldCharType="begin"/>
      </w:r>
      <w:r>
        <w:instrText xml:space="preserve"> REF _Ref48140111 \h </w:instrText>
      </w:r>
      <w:r>
        <w:fldChar w:fldCharType="separate"/>
      </w:r>
      <w:r w:rsidR="00774955">
        <w:t xml:space="preserve">Table </w:t>
      </w:r>
      <w:r w:rsidR="00774955" w:rsidRPr="2B6A7423">
        <w:rPr>
          <w:noProof/>
        </w:rPr>
        <w:t>11</w:t>
      </w:r>
      <w:r>
        <w:fldChar w:fldCharType="end"/>
      </w:r>
      <w:r w:rsidR="00DE016D">
        <w:t>.</w:t>
      </w:r>
    </w:p>
    <w:p w14:paraId="65E80332" w14:textId="52A3071E" w:rsidR="009862BD" w:rsidRPr="00430F14" w:rsidRDefault="009C6932" w:rsidP="00DE016D">
      <w:pPr>
        <w:pStyle w:val="StandardNum"/>
        <w:ind w:left="0"/>
        <w:rPr>
          <w:rFonts w:asciiTheme="minorHAnsi" w:eastAsiaTheme="minorEastAsia" w:hAnsiTheme="minorHAnsi" w:cstheme="minorBidi"/>
        </w:rPr>
      </w:pPr>
      <w:r>
        <w:t>Lithuania</w:t>
      </w:r>
      <w:r w:rsidR="4BDD1BDB" w:rsidRPr="2B6A7423">
        <w:rPr>
          <w:rFonts w:eastAsia="Calibri" w:cs="Calibri"/>
        </w:rPr>
        <w:t xml:space="preserve"> did not raise any issues with the calculated estimates</w:t>
      </w:r>
      <w:r w:rsidR="00DE016D">
        <w:t xml:space="preserve"> in </w:t>
      </w:r>
      <w:r>
        <w:fldChar w:fldCharType="begin"/>
      </w:r>
      <w:r>
        <w:instrText xml:space="preserve"> REF _Ref1735036 \h </w:instrText>
      </w:r>
      <w:r>
        <w:fldChar w:fldCharType="separate"/>
      </w:r>
      <w:r w:rsidR="00774955">
        <w:t xml:space="preserve">Table </w:t>
      </w:r>
      <w:r w:rsidR="00774955" w:rsidRPr="2B6A7423">
        <w:rPr>
          <w:noProof/>
        </w:rPr>
        <w:t>12</w:t>
      </w:r>
      <w:r>
        <w:fldChar w:fldCharType="end"/>
      </w:r>
      <w:r w:rsidR="00DE016D">
        <w:t xml:space="preserve">. </w:t>
      </w:r>
    </w:p>
    <w:p w14:paraId="10CF70F4" w14:textId="77777777" w:rsidR="006D4F49" w:rsidRPr="00DE016D" w:rsidRDefault="006D4F49" w:rsidP="00DE016D">
      <w:pPr>
        <w:pStyle w:val="StandardNum"/>
        <w:numPr>
          <w:ilvl w:val="0"/>
          <w:numId w:val="0"/>
        </w:numPr>
      </w:pPr>
    </w:p>
    <w:p w14:paraId="012D07AD" w14:textId="77777777" w:rsidR="00DE016D" w:rsidRDefault="00DE016D" w:rsidP="00DE016D">
      <w:pPr>
        <w:pStyle w:val="StandardNum"/>
        <w:numPr>
          <w:ilvl w:val="0"/>
          <w:numId w:val="0"/>
        </w:numPr>
        <w:ind w:left="3261"/>
      </w:pPr>
    </w:p>
    <w:p w14:paraId="378C32D1" w14:textId="77777777" w:rsidR="00DE016D" w:rsidRDefault="00DE016D" w:rsidP="00DE016D">
      <w:pPr>
        <w:pStyle w:val="StandardNum"/>
        <w:numPr>
          <w:ilvl w:val="0"/>
          <w:numId w:val="0"/>
        </w:numPr>
        <w:ind w:left="3261"/>
      </w:pPr>
    </w:p>
    <w:p w14:paraId="188653E5" w14:textId="77777777" w:rsidR="00DE016D" w:rsidRPr="007B60E9" w:rsidRDefault="00DE016D" w:rsidP="007B60E9">
      <w:pPr>
        <w:pStyle w:val="Antrat1"/>
      </w:pPr>
      <w:bookmarkStart w:id="42" w:name="_Toc53738313"/>
      <w:r w:rsidRPr="007B60E9">
        <w:t xml:space="preserve">Technical expert review team response to the statement from </w:t>
      </w:r>
      <w:r w:rsidR="00E3069C">
        <w:t>Lithuania</w:t>
      </w:r>
      <w:bookmarkEnd w:id="42"/>
    </w:p>
    <w:p w14:paraId="744D4092" w14:textId="71699E82" w:rsidR="006A7DFE" w:rsidRDefault="0041395A" w:rsidP="006273D1">
      <w:pPr>
        <w:pStyle w:val="StandardNum"/>
        <w:ind w:left="0"/>
        <w:rPr>
          <w:rFonts w:asciiTheme="minorHAnsi" w:eastAsiaTheme="minorEastAsia" w:hAnsiTheme="minorHAnsi" w:cstheme="minorBidi"/>
        </w:rPr>
      </w:pPr>
      <w:r>
        <w:t xml:space="preserve">Lithuania </w:t>
      </w:r>
      <w:r w:rsidR="32019FE9" w:rsidRPr="2B6A7423">
        <w:rPr>
          <w:rFonts w:eastAsia="Calibri" w:cs="Calibri"/>
        </w:rPr>
        <w:t>did not raise any issues with the calculated estimates</w:t>
      </w:r>
      <w:r>
        <w:t xml:space="preserve"> presented in Table 11 and 12 and therefore no response from the TERT is required.</w:t>
      </w:r>
    </w:p>
    <w:p w14:paraId="52B30CB6" w14:textId="77777777" w:rsidR="002859A8" w:rsidRDefault="002859A8" w:rsidP="002859A8">
      <w:pPr>
        <w:pStyle w:val="StandardNum"/>
        <w:numPr>
          <w:ilvl w:val="0"/>
          <w:numId w:val="0"/>
        </w:numPr>
      </w:pPr>
    </w:p>
    <w:p w14:paraId="39FB7CB5" w14:textId="77777777" w:rsidR="002859A8" w:rsidRDefault="002859A8">
      <w:pPr>
        <w:rPr>
          <w:rFonts w:asciiTheme="majorHAnsi" w:eastAsiaTheme="majorEastAsia" w:hAnsiTheme="majorHAnsi" w:cstheme="majorBidi"/>
          <w:color w:val="2E74B5" w:themeColor="accent1" w:themeShade="BF"/>
          <w:sz w:val="32"/>
          <w:szCs w:val="32"/>
          <w:lang w:val="en-US"/>
        </w:rPr>
      </w:pPr>
      <w:bookmarkStart w:id="43" w:name="_Ref477429670"/>
      <w:r>
        <w:br w:type="page"/>
      </w:r>
    </w:p>
    <w:p w14:paraId="7FEBF661" w14:textId="77777777" w:rsidR="00064F61" w:rsidRPr="002859A8" w:rsidRDefault="00064F61" w:rsidP="00E3069C">
      <w:pPr>
        <w:pStyle w:val="AnnexHeading"/>
        <w:outlineLvl w:val="0"/>
      </w:pPr>
      <w:bookmarkStart w:id="44" w:name="_Toc53738314"/>
      <w:r w:rsidRPr="002859A8">
        <w:t xml:space="preserve">ANNEX I </w:t>
      </w:r>
      <w:r w:rsidR="00E3069C">
        <w:t xml:space="preserve">- </w:t>
      </w:r>
      <w:r w:rsidRPr="002859A8">
        <w:t>Technical</w:t>
      </w:r>
      <w:r w:rsidRPr="006D4F49">
        <w:t xml:space="preserve"> </w:t>
      </w:r>
      <w:r w:rsidRPr="002859A8">
        <w:t xml:space="preserve">corrections deemed necessary by the </w:t>
      </w:r>
      <w:r w:rsidR="002F5A30" w:rsidRPr="002859A8">
        <w:t>technical expert review team</w:t>
      </w:r>
      <w:r w:rsidRPr="002859A8">
        <w:t xml:space="preserve"> and revised estimates provided by </w:t>
      </w:r>
      <w:r w:rsidR="00DE7849">
        <w:t>Lithuania</w:t>
      </w:r>
      <w:bookmarkEnd w:id="44"/>
      <w:r w:rsidR="00DE7849">
        <w:t xml:space="preserve"> </w:t>
      </w:r>
      <w:bookmarkEnd w:id="43"/>
    </w:p>
    <w:p w14:paraId="1A57E425" w14:textId="77777777" w:rsidR="002859A8" w:rsidRDefault="002859A8" w:rsidP="002859A8">
      <w:pPr>
        <w:pStyle w:val="StandardNum"/>
        <w:ind w:left="0"/>
      </w:pPr>
      <w:bookmarkStart w:id="45" w:name="_Ref475629128"/>
      <w:r>
        <w:t>Lithuania had Revised Estimates and Technical Corrections in the NECD Review 2020.</w:t>
      </w:r>
    </w:p>
    <w:p w14:paraId="38D8317D" w14:textId="77777777" w:rsidR="00585A1E" w:rsidRPr="00A27936" w:rsidRDefault="00064F61" w:rsidP="002859A8">
      <w:pPr>
        <w:pStyle w:val="StandardNum"/>
        <w:ind w:left="0"/>
      </w:pPr>
      <w:r>
        <w:t xml:space="preserve">The </w:t>
      </w:r>
      <w:r w:rsidR="002F5A30">
        <w:t>technical expert review team</w:t>
      </w:r>
      <w:r>
        <w:t xml:space="preserve"> calculated technical corrections </w:t>
      </w:r>
      <w:r w:rsidR="00EE4B0A">
        <w:t>for</w:t>
      </w:r>
      <w:r w:rsidR="00585A1E">
        <w:t xml:space="preserve"> cases </w:t>
      </w:r>
    </w:p>
    <w:p w14:paraId="58EF5E47" w14:textId="77777777" w:rsidR="00585A1E" w:rsidRDefault="00585A1E" w:rsidP="002859A8">
      <w:pPr>
        <w:pStyle w:val="StandardNum"/>
        <w:numPr>
          <w:ilvl w:val="0"/>
          <w:numId w:val="8"/>
        </w:numPr>
        <w:ind w:left="851"/>
      </w:pPr>
      <w:r>
        <w:t>where it did not agree with the way th</w:t>
      </w:r>
      <w:r w:rsidR="00B84706">
        <w:t>at</w:t>
      </w:r>
      <w:r>
        <w:t xml:space="preserve"> a revised estimate or technical correction f</w:t>
      </w:r>
      <w:r w:rsidR="00DC40D0">
        <w:t>ro</w:t>
      </w:r>
      <w:r>
        <w:t xml:space="preserve">m the NECD </w:t>
      </w:r>
      <w:r w:rsidR="00E25196">
        <w:t>R</w:t>
      </w:r>
      <w:r>
        <w:t>eview 201</w:t>
      </w:r>
      <w:r w:rsidR="005C4379">
        <w:t>9</w:t>
      </w:r>
      <w:r>
        <w:t xml:space="preserve"> was implemented and where no revised estimate was </w:t>
      </w:r>
      <w:r w:rsidR="00DC40D0">
        <w:t xml:space="preserve">accepted by the </w:t>
      </w:r>
      <w:r w:rsidR="002F5A30">
        <w:t>technical expert review team</w:t>
      </w:r>
      <w:r w:rsidR="00DC40D0">
        <w:t xml:space="preserve"> </w:t>
      </w:r>
      <w:r>
        <w:t>during the review</w:t>
      </w:r>
    </w:p>
    <w:p w14:paraId="7200A9C6" w14:textId="77777777" w:rsidR="00585A1E" w:rsidRDefault="00DE36A1" w:rsidP="002859A8">
      <w:pPr>
        <w:pStyle w:val="StandardNum"/>
        <w:numPr>
          <w:ilvl w:val="0"/>
          <w:numId w:val="8"/>
        </w:numPr>
        <w:ind w:left="851"/>
      </w:pPr>
      <w:r>
        <w:t xml:space="preserve"> and</w:t>
      </w:r>
      <w:r w:rsidR="00585A1E">
        <w:t xml:space="preserve"> </w:t>
      </w:r>
      <w:r>
        <w:t xml:space="preserve">where </w:t>
      </w:r>
      <w:r w:rsidR="004C5EC0">
        <w:t>the</w:t>
      </w:r>
      <w:r w:rsidR="00776898">
        <w:t xml:space="preserve"> suggested recommendation of the </w:t>
      </w:r>
      <w:r w:rsidR="002F5A30">
        <w:t>technical expert review team</w:t>
      </w:r>
      <w:r w:rsidR="00776898">
        <w:t xml:space="preserve"> would change the National Total by more than 2%.</w:t>
      </w:r>
      <w:r>
        <w:t xml:space="preserve"> </w:t>
      </w:r>
    </w:p>
    <w:p w14:paraId="1E7E04EC" w14:textId="77777777" w:rsidR="00064F61" w:rsidRDefault="00064F61" w:rsidP="002859A8">
      <w:pPr>
        <w:pStyle w:val="StandardNum"/>
        <w:ind w:left="0"/>
      </w:pPr>
      <w:r w:rsidRPr="00B22735">
        <w:t xml:space="preserve">The methods for calculating the technical corrections are set up in the </w:t>
      </w:r>
      <w:r w:rsidRPr="00FA7265">
        <w:t>“</w:t>
      </w:r>
      <w:r w:rsidRPr="00983A55">
        <w:t>Guidance on technical corrections” and are based on the basic adjustment methods referred in the revised UNECE Reporting Guidelines and UNFCCC Adjustment guidance</w:t>
      </w:r>
      <w:r w:rsidRPr="002859A8">
        <w:rPr>
          <w:vertAlign w:val="superscript"/>
        </w:rPr>
        <w:footnoteReference w:id="11"/>
      </w:r>
      <w:r w:rsidRPr="00585A1E">
        <w:t xml:space="preserve"> </w:t>
      </w:r>
      <w:r w:rsidRPr="00983A55">
        <w:t xml:space="preserve">and use the EMEP/EEA </w:t>
      </w:r>
      <w:r w:rsidR="00E44455">
        <w:t>i</w:t>
      </w:r>
      <w:r w:rsidRPr="00983A55">
        <w:t>nventory</w:t>
      </w:r>
      <w:r w:rsidRPr="00B22735">
        <w:t xml:space="preserve"> guidebook as a reference for methods and emission factors.</w:t>
      </w:r>
    </w:p>
    <w:p w14:paraId="638F8C1A" w14:textId="77777777" w:rsidR="002859A8" w:rsidRDefault="002859A8" w:rsidP="002859A8">
      <w:pPr>
        <w:pStyle w:val="StandardNum"/>
        <w:numPr>
          <w:ilvl w:val="0"/>
          <w:numId w:val="0"/>
        </w:numPr>
      </w:pPr>
    </w:p>
    <w:p w14:paraId="14FEAE65" w14:textId="77777777" w:rsidR="002859A8" w:rsidRDefault="002859A8">
      <w:pPr>
        <w:rPr>
          <w:b/>
          <w:i/>
          <w:iCs/>
          <w:color w:val="44546A" w:themeColor="text2"/>
          <w:szCs w:val="18"/>
        </w:rPr>
      </w:pPr>
      <w:bookmarkStart w:id="46" w:name="_Ref507588803"/>
      <w:r>
        <w:br w:type="page"/>
      </w:r>
    </w:p>
    <w:p w14:paraId="6AFBD84F" w14:textId="53B5D557" w:rsidR="00372308" w:rsidRDefault="00064F61" w:rsidP="00E50FE7">
      <w:pPr>
        <w:pStyle w:val="Antrat"/>
        <w:keepNext/>
        <w:keepLines/>
      </w:pPr>
      <w:r w:rsidRPr="00BE5EC5">
        <w:t xml:space="preserve">Table </w:t>
      </w:r>
      <w:r w:rsidR="007F4E77">
        <w:t>A</w:t>
      </w:r>
      <w:bookmarkEnd w:id="46"/>
      <w:r w:rsidR="007F4E77">
        <w:rPr>
          <w:noProof/>
        </w:rPr>
        <w:t>1</w:t>
      </w:r>
      <w:r w:rsidRPr="00BE5EC5">
        <w:t xml:space="preserve">: Summary tables of </w:t>
      </w:r>
      <w:r w:rsidR="00FE6049">
        <w:t xml:space="preserve">Revised Estimates and </w:t>
      </w:r>
      <w:r w:rsidRPr="00BE5EC5">
        <w:t xml:space="preserve">Technical Corrections </w:t>
      </w:r>
    </w:p>
    <w:tbl>
      <w:tblPr>
        <w:tblW w:w="9360" w:type="dxa"/>
        <w:jc w:val="center"/>
        <w:tblLayout w:type="fixed"/>
        <w:tblLook w:val="0420" w:firstRow="1" w:lastRow="0" w:firstColumn="0" w:lastColumn="0" w:noHBand="0" w:noVBand="1"/>
      </w:tblPr>
      <w:tblGrid>
        <w:gridCol w:w="217"/>
        <w:gridCol w:w="1440"/>
        <w:gridCol w:w="1123"/>
        <w:gridCol w:w="1123"/>
        <w:gridCol w:w="1123"/>
        <w:gridCol w:w="1123"/>
        <w:gridCol w:w="1123"/>
        <w:gridCol w:w="1872"/>
        <w:gridCol w:w="216"/>
      </w:tblGrid>
      <w:tr w:rsidR="002117B2" w14:paraId="52939DA4"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AA62FBB" w14:textId="77777777" w:rsidR="002117B2" w:rsidRDefault="00616284">
            <w:pPr>
              <w:spacing w:after="0"/>
              <w:ind w:left="2" w:right="2"/>
              <w:jc w:val="center"/>
            </w:pPr>
            <w:r>
              <w:rPr>
                <w:rFonts w:ascii="Calibri" w:eastAsia="Calibri" w:hAnsi="Calibri" w:cs="Calibri"/>
                <w:b/>
                <w:color w:val="FFFFFF"/>
                <w:sz w:val="18"/>
                <w:szCs w:val="18"/>
              </w:rPr>
              <w:t>1</w:t>
            </w:r>
          </w:p>
        </w:tc>
        <w:tc>
          <w:tcPr>
            <w:tcW w:w="1440" w:type="dxa"/>
            <w:tcBorders>
              <w:top w:val="single" w:sz="8" w:space="0" w:color="000000"/>
            </w:tcBorders>
            <w:shd w:val="clear" w:color="auto" w:fill="BDD7EE"/>
            <w:tcMar>
              <w:top w:w="0" w:type="dxa"/>
              <w:left w:w="0" w:type="dxa"/>
              <w:bottom w:w="0" w:type="dxa"/>
              <w:right w:w="0" w:type="dxa"/>
            </w:tcMar>
            <w:vAlign w:val="center"/>
          </w:tcPr>
          <w:p w14:paraId="3481FB77"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7998D899"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77BA53A6"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42280110"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13BDA319"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6D26B937" w14:textId="77777777" w:rsidR="002117B2" w:rsidRDefault="002117B2">
            <w:pPr>
              <w:spacing w:after="0"/>
              <w:ind w:left="2" w:right="2"/>
            </w:pPr>
          </w:p>
        </w:tc>
        <w:tc>
          <w:tcPr>
            <w:tcW w:w="1872" w:type="dxa"/>
            <w:tcBorders>
              <w:top w:val="single" w:sz="8" w:space="0" w:color="000000"/>
            </w:tcBorders>
            <w:shd w:val="clear" w:color="auto" w:fill="BDD7EE"/>
            <w:tcMar>
              <w:top w:w="0" w:type="dxa"/>
              <w:left w:w="0" w:type="dxa"/>
              <w:bottom w:w="0" w:type="dxa"/>
              <w:right w:w="0" w:type="dxa"/>
            </w:tcMar>
            <w:vAlign w:val="center"/>
          </w:tcPr>
          <w:p w14:paraId="019C6999" w14:textId="77777777" w:rsidR="002117B2" w:rsidRDefault="002117B2">
            <w:pPr>
              <w:spacing w:after="0"/>
              <w:ind w:left="2" w:right="2"/>
            </w:pPr>
          </w:p>
        </w:tc>
        <w:tc>
          <w:tcPr>
            <w:tcW w:w="216" w:type="dxa"/>
            <w:tcBorders>
              <w:top w:val="single" w:sz="8" w:space="0" w:color="000000"/>
              <w:right w:val="single" w:sz="8" w:space="0" w:color="000000"/>
            </w:tcBorders>
            <w:shd w:val="clear" w:color="auto" w:fill="BDD7EE"/>
            <w:tcMar>
              <w:top w:w="0" w:type="dxa"/>
              <w:left w:w="0" w:type="dxa"/>
              <w:bottom w:w="0" w:type="dxa"/>
              <w:right w:w="0" w:type="dxa"/>
            </w:tcMar>
            <w:vAlign w:val="center"/>
          </w:tcPr>
          <w:p w14:paraId="688BB45F" w14:textId="77777777" w:rsidR="002117B2" w:rsidRDefault="002117B2">
            <w:pPr>
              <w:spacing w:after="0"/>
              <w:ind w:left="2" w:right="2"/>
            </w:pPr>
          </w:p>
        </w:tc>
      </w:tr>
      <w:tr w:rsidR="002117B2" w14:paraId="4B3022B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4138EEC"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D5EAE40" w14:textId="77777777" w:rsidR="002117B2" w:rsidRDefault="00616284">
            <w:pPr>
              <w:spacing w:after="0"/>
              <w:ind w:left="2" w:right="2"/>
            </w:pPr>
            <w:r>
              <w:rPr>
                <w:rFonts w:ascii="Calibri" w:eastAsia="Calibri" w:hAnsi="Calibri" w:cs="Calibri"/>
                <w:color w:val="111111"/>
                <w:sz w:val="18"/>
                <w:szCs w:val="18"/>
              </w:rPr>
              <w:t>EMRT ID:</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4FC822" w14:textId="77777777" w:rsidR="002117B2" w:rsidRDefault="00616284">
            <w:pPr>
              <w:spacing w:after="0"/>
              <w:ind w:left="2" w:right="2"/>
            </w:pPr>
            <w:r>
              <w:rPr>
                <w:rFonts w:ascii="Calibri" w:eastAsia="Calibri" w:hAnsi="Calibri" w:cs="Calibri"/>
                <w:color w:val="111111"/>
                <w:sz w:val="18"/>
                <w:szCs w:val="18"/>
              </w:rPr>
              <w:t>LT-2A5b-2019-0001</w:t>
            </w:r>
          </w:p>
        </w:tc>
        <w:tc>
          <w:tcPr>
            <w:tcW w:w="216" w:type="dxa"/>
            <w:tcBorders>
              <w:right w:val="single" w:sz="8" w:space="0" w:color="000000"/>
            </w:tcBorders>
            <w:shd w:val="clear" w:color="auto" w:fill="BDD7EE"/>
            <w:tcMar>
              <w:top w:w="0" w:type="dxa"/>
              <w:left w:w="0" w:type="dxa"/>
              <w:bottom w:w="0" w:type="dxa"/>
              <w:right w:w="0" w:type="dxa"/>
            </w:tcMar>
            <w:vAlign w:val="center"/>
          </w:tcPr>
          <w:p w14:paraId="73BD95FE" w14:textId="77777777" w:rsidR="002117B2" w:rsidRDefault="002117B2">
            <w:pPr>
              <w:spacing w:after="0"/>
              <w:ind w:left="2" w:right="2"/>
            </w:pPr>
          </w:p>
        </w:tc>
      </w:tr>
      <w:tr w:rsidR="002117B2" w14:paraId="4ECB8D1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0B0A09F"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30EBAF1" w14:textId="77777777" w:rsidR="002117B2" w:rsidRDefault="00616284">
            <w:pPr>
              <w:spacing w:after="0"/>
              <w:ind w:left="2" w:right="2"/>
            </w:pPr>
            <w:r>
              <w:rPr>
                <w:rFonts w:ascii="Calibri" w:eastAsia="Calibri" w:hAnsi="Calibri" w:cs="Calibri"/>
                <w:color w:val="111111"/>
                <w:sz w:val="18"/>
                <w:szCs w:val="18"/>
              </w:rPr>
              <w:t>EMRT URL:</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269ED2" w14:textId="77777777" w:rsidR="002117B2" w:rsidRDefault="00616284">
            <w:pPr>
              <w:spacing w:after="0"/>
              <w:ind w:left="2" w:right="2"/>
            </w:pPr>
            <w:r>
              <w:rPr>
                <w:rFonts w:ascii="Calibri" w:eastAsia="Calibri" w:hAnsi="Calibri" w:cs="Calibri"/>
                <w:color w:val="111111"/>
                <w:sz w:val="18"/>
                <w:szCs w:val="18"/>
              </w:rPr>
              <w:t>https://emrt-necd.eionet.europa.eu/2020/LT-2A5b-2019-0001</w:t>
            </w:r>
          </w:p>
        </w:tc>
        <w:tc>
          <w:tcPr>
            <w:tcW w:w="216" w:type="dxa"/>
            <w:tcBorders>
              <w:right w:val="single" w:sz="8" w:space="0" w:color="000000"/>
            </w:tcBorders>
            <w:shd w:val="clear" w:color="auto" w:fill="BDD7EE"/>
            <w:tcMar>
              <w:top w:w="0" w:type="dxa"/>
              <w:left w:w="0" w:type="dxa"/>
              <w:bottom w:w="0" w:type="dxa"/>
              <w:right w:w="0" w:type="dxa"/>
            </w:tcMar>
            <w:vAlign w:val="center"/>
          </w:tcPr>
          <w:p w14:paraId="2FA7AE04" w14:textId="77777777" w:rsidR="002117B2" w:rsidRDefault="002117B2">
            <w:pPr>
              <w:spacing w:after="0"/>
              <w:ind w:left="2" w:right="2"/>
            </w:pPr>
          </w:p>
        </w:tc>
      </w:tr>
      <w:tr w:rsidR="002117B2" w14:paraId="1448E88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1F1A48B"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E4250DF" w14:textId="77777777" w:rsidR="002117B2" w:rsidRDefault="00616284">
            <w:pPr>
              <w:spacing w:after="0"/>
              <w:ind w:left="2" w:right="2"/>
            </w:pPr>
            <w:r>
              <w:rPr>
                <w:rFonts w:ascii="Calibri" w:eastAsia="Calibri" w:hAnsi="Calibri" w:cs="Calibri"/>
                <w:color w:val="111111"/>
                <w:sz w:val="18"/>
                <w:szCs w:val="18"/>
              </w:rPr>
              <w:t>Member State:</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2555E7" w14:textId="77777777" w:rsidR="002117B2" w:rsidRDefault="00616284">
            <w:pPr>
              <w:spacing w:after="0"/>
              <w:ind w:left="2" w:right="2"/>
            </w:pPr>
            <w:r>
              <w:rPr>
                <w:rFonts w:ascii="Calibri" w:eastAsia="Calibri" w:hAnsi="Calibri" w:cs="Calibri"/>
                <w:color w:val="111111"/>
                <w:sz w:val="18"/>
                <w:szCs w:val="18"/>
              </w:rPr>
              <w:t>Lithuania</w:t>
            </w:r>
          </w:p>
        </w:tc>
        <w:tc>
          <w:tcPr>
            <w:tcW w:w="216" w:type="dxa"/>
            <w:tcBorders>
              <w:right w:val="single" w:sz="8" w:space="0" w:color="000000"/>
            </w:tcBorders>
            <w:shd w:val="clear" w:color="auto" w:fill="BDD7EE"/>
            <w:tcMar>
              <w:top w:w="0" w:type="dxa"/>
              <w:left w:w="0" w:type="dxa"/>
              <w:bottom w:w="0" w:type="dxa"/>
              <w:right w:w="0" w:type="dxa"/>
            </w:tcMar>
            <w:vAlign w:val="center"/>
          </w:tcPr>
          <w:p w14:paraId="005D3F10" w14:textId="77777777" w:rsidR="002117B2" w:rsidRDefault="002117B2">
            <w:pPr>
              <w:spacing w:after="0"/>
              <w:ind w:left="2" w:right="2"/>
            </w:pPr>
          </w:p>
        </w:tc>
      </w:tr>
      <w:tr w:rsidR="002117B2" w14:paraId="4D058B9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C0C96B3"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9FE2036" w14:textId="77777777" w:rsidR="002117B2" w:rsidRDefault="00616284">
            <w:pPr>
              <w:spacing w:after="0"/>
              <w:ind w:left="2" w:right="2"/>
            </w:pPr>
            <w:r>
              <w:rPr>
                <w:rFonts w:ascii="Calibri" w:eastAsia="Calibri" w:hAnsi="Calibri" w:cs="Calibri"/>
                <w:color w:val="111111"/>
                <w:sz w:val="18"/>
                <w:szCs w:val="18"/>
              </w:rPr>
              <w:t>Sector: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2672BC" w14:textId="716FD1F0" w:rsidR="002117B2" w:rsidRDefault="00616284">
            <w:pPr>
              <w:spacing w:after="0"/>
              <w:ind w:left="2" w:right="2"/>
            </w:pPr>
            <w:r>
              <w:rPr>
                <w:rFonts w:ascii="Calibri" w:eastAsia="Calibri" w:hAnsi="Calibri" w:cs="Calibri"/>
                <w:color w:val="111111"/>
                <w:sz w:val="18"/>
                <w:szCs w:val="18"/>
              </w:rPr>
              <w:t xml:space="preserve">2A5b Construction and </w:t>
            </w:r>
            <w:r w:rsidR="00874A03">
              <w:rPr>
                <w:rFonts w:ascii="Calibri" w:eastAsia="Calibri" w:hAnsi="Calibri" w:cs="Calibri"/>
                <w:color w:val="111111"/>
                <w:sz w:val="18"/>
                <w:szCs w:val="18"/>
              </w:rPr>
              <w:t>D</w:t>
            </w:r>
            <w:r>
              <w:rPr>
                <w:rFonts w:ascii="Calibri" w:eastAsia="Calibri" w:hAnsi="Calibri" w:cs="Calibri"/>
                <w:color w:val="111111"/>
                <w:sz w:val="18"/>
                <w:szCs w:val="18"/>
              </w:rPr>
              <w:t>emolition</w:t>
            </w:r>
          </w:p>
        </w:tc>
        <w:tc>
          <w:tcPr>
            <w:tcW w:w="216" w:type="dxa"/>
            <w:tcBorders>
              <w:right w:val="single" w:sz="8" w:space="0" w:color="000000"/>
            </w:tcBorders>
            <w:shd w:val="clear" w:color="auto" w:fill="BDD7EE"/>
            <w:tcMar>
              <w:top w:w="0" w:type="dxa"/>
              <w:left w:w="0" w:type="dxa"/>
              <w:bottom w:w="0" w:type="dxa"/>
              <w:right w:w="0" w:type="dxa"/>
            </w:tcMar>
            <w:vAlign w:val="center"/>
          </w:tcPr>
          <w:p w14:paraId="6F0C7C32" w14:textId="77777777" w:rsidR="002117B2" w:rsidRDefault="002117B2">
            <w:pPr>
              <w:spacing w:after="0"/>
              <w:ind w:left="2" w:right="2"/>
            </w:pPr>
          </w:p>
        </w:tc>
      </w:tr>
      <w:tr w:rsidR="002117B2" w14:paraId="34031BE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8C807D3"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CE114CC" w14:textId="77777777" w:rsidR="002117B2" w:rsidRDefault="00616284">
            <w:pPr>
              <w:spacing w:after="0"/>
              <w:ind w:left="2" w:right="2"/>
            </w:pPr>
            <w:r>
              <w:rPr>
                <w:rFonts w:ascii="Calibri" w:eastAsia="Calibri" w:hAnsi="Calibri" w:cs="Calibri"/>
                <w:color w:val="111111"/>
                <w:sz w:val="18"/>
                <w:szCs w:val="18"/>
              </w:rPr>
              <w:t>Pollutants:</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E7CC92" w14:textId="06EAABFF" w:rsidR="002117B2" w:rsidRDefault="00616284">
            <w:pPr>
              <w:spacing w:after="0"/>
              <w:ind w:left="2" w:right="2"/>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216" w:type="dxa"/>
            <w:tcBorders>
              <w:right w:val="single" w:sz="8" w:space="0" w:color="000000"/>
            </w:tcBorders>
            <w:shd w:val="clear" w:color="auto" w:fill="BDD7EE"/>
            <w:tcMar>
              <w:top w:w="0" w:type="dxa"/>
              <w:left w:w="0" w:type="dxa"/>
              <w:bottom w:w="0" w:type="dxa"/>
              <w:right w:w="0" w:type="dxa"/>
            </w:tcMar>
            <w:vAlign w:val="center"/>
          </w:tcPr>
          <w:p w14:paraId="749FDD8B" w14:textId="77777777" w:rsidR="002117B2" w:rsidRDefault="002117B2">
            <w:pPr>
              <w:spacing w:after="0"/>
              <w:ind w:left="2" w:right="2"/>
            </w:pPr>
          </w:p>
        </w:tc>
      </w:tr>
      <w:tr w:rsidR="002117B2" w14:paraId="0A4F4D1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5230E0"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A29F7E9" w14:textId="77777777" w:rsidR="002117B2" w:rsidRDefault="00616284">
            <w:pPr>
              <w:spacing w:after="0"/>
              <w:ind w:left="2" w:right="2"/>
            </w:pPr>
            <w:r>
              <w:rPr>
                <w:rFonts w:ascii="Calibri" w:eastAsia="Calibri" w:hAnsi="Calibri" w:cs="Calibri"/>
                <w:color w:val="111111"/>
                <w:sz w:val="18"/>
                <w:szCs w:val="18"/>
              </w:rPr>
              <w:t>Completed by (SE):</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188D45" w14:textId="77777777" w:rsidR="002117B2" w:rsidRDefault="00616284">
            <w:pPr>
              <w:spacing w:after="0"/>
              <w:ind w:left="2" w:right="2"/>
            </w:pPr>
            <w:r>
              <w:rPr>
                <w:rFonts w:ascii="Calibri" w:eastAsia="Calibri" w:hAnsi="Calibri" w:cs="Calibri"/>
                <w:color w:val="111111"/>
                <w:sz w:val="18"/>
                <w:szCs w:val="18"/>
              </w:rPr>
              <w:t>Coralie Jeannot</w:t>
            </w:r>
          </w:p>
        </w:tc>
        <w:tc>
          <w:tcPr>
            <w:tcW w:w="216" w:type="dxa"/>
            <w:tcBorders>
              <w:right w:val="single" w:sz="8" w:space="0" w:color="000000"/>
            </w:tcBorders>
            <w:shd w:val="clear" w:color="auto" w:fill="BDD7EE"/>
            <w:tcMar>
              <w:top w:w="0" w:type="dxa"/>
              <w:left w:w="0" w:type="dxa"/>
              <w:bottom w:w="0" w:type="dxa"/>
              <w:right w:w="0" w:type="dxa"/>
            </w:tcMar>
            <w:vAlign w:val="center"/>
          </w:tcPr>
          <w:p w14:paraId="13F071ED" w14:textId="77777777" w:rsidR="002117B2" w:rsidRDefault="002117B2">
            <w:pPr>
              <w:spacing w:after="0"/>
              <w:ind w:left="2" w:right="2"/>
            </w:pPr>
          </w:p>
        </w:tc>
      </w:tr>
      <w:tr w:rsidR="002117B2" w14:paraId="4B8E306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F4E3E55"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7BA12D5" w14:textId="77777777" w:rsidR="002117B2" w:rsidRDefault="00616284">
            <w:pPr>
              <w:spacing w:after="0"/>
              <w:ind w:left="2" w:right="2"/>
            </w:pPr>
            <w:r>
              <w:rPr>
                <w:rFonts w:ascii="Calibri" w:eastAsia="Calibri" w:hAnsi="Calibri" w:cs="Calibri"/>
                <w:color w:val="111111"/>
                <w:sz w:val="18"/>
                <w:szCs w:val="18"/>
              </w:rPr>
              <w:t>Reviewed by (LR):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712196" w14:textId="77777777" w:rsidR="002117B2" w:rsidRDefault="00616284">
            <w:pPr>
              <w:spacing w:after="0"/>
              <w:ind w:left="2" w:right="2"/>
            </w:pPr>
            <w:r>
              <w:rPr>
                <w:rFonts w:ascii="Calibri" w:eastAsia="Calibri" w:hAnsi="Calibri" w:cs="Calibri"/>
                <w:color w:val="111111"/>
                <w:sz w:val="18"/>
                <w:szCs w:val="18"/>
              </w:rPr>
              <w:t>Justin Goodwin</w:t>
            </w:r>
          </w:p>
        </w:tc>
        <w:tc>
          <w:tcPr>
            <w:tcW w:w="216" w:type="dxa"/>
            <w:tcBorders>
              <w:right w:val="single" w:sz="8" w:space="0" w:color="000000"/>
            </w:tcBorders>
            <w:shd w:val="clear" w:color="auto" w:fill="BDD7EE"/>
            <w:tcMar>
              <w:top w:w="0" w:type="dxa"/>
              <w:left w:w="0" w:type="dxa"/>
              <w:bottom w:w="0" w:type="dxa"/>
              <w:right w:w="0" w:type="dxa"/>
            </w:tcMar>
            <w:vAlign w:val="center"/>
          </w:tcPr>
          <w:p w14:paraId="072257C7" w14:textId="77777777" w:rsidR="002117B2" w:rsidRDefault="002117B2">
            <w:pPr>
              <w:spacing w:after="0"/>
              <w:ind w:left="2" w:right="2"/>
            </w:pPr>
          </w:p>
        </w:tc>
      </w:tr>
      <w:tr w:rsidR="002117B2" w14:paraId="166396D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8E4BC36"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A152BB2" w14:textId="77777777" w:rsidR="002117B2" w:rsidRDefault="00616284">
            <w:pPr>
              <w:spacing w:after="0"/>
              <w:ind w:left="2" w:right="2"/>
            </w:pPr>
            <w:r>
              <w:rPr>
                <w:rFonts w:ascii="Calibri" w:eastAsia="Calibri" w:hAnsi="Calibri" w:cs="Calibri"/>
                <w:color w:val="111111"/>
                <w:sz w:val="18"/>
                <w:szCs w:val="18"/>
              </w:rPr>
              <w:t>Reviewed by (Counterpart):</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3A41D3" w14:textId="77777777" w:rsidR="002117B2" w:rsidRDefault="00616284">
            <w:pPr>
              <w:spacing w:after="0"/>
              <w:ind w:left="2" w:right="2"/>
            </w:pPr>
            <w:r>
              <w:rPr>
                <w:rFonts w:ascii="Calibri" w:eastAsia="Calibri" w:hAnsi="Calibri" w:cs="Calibri"/>
                <w:color w:val="111111"/>
                <w:sz w:val="18"/>
                <w:szCs w:val="18"/>
              </w:rPr>
              <w:t>Maria Purzner</w:t>
            </w:r>
          </w:p>
        </w:tc>
        <w:tc>
          <w:tcPr>
            <w:tcW w:w="216" w:type="dxa"/>
            <w:tcBorders>
              <w:right w:val="single" w:sz="8" w:space="0" w:color="000000"/>
            </w:tcBorders>
            <w:shd w:val="clear" w:color="auto" w:fill="BDD7EE"/>
            <w:tcMar>
              <w:top w:w="0" w:type="dxa"/>
              <w:left w:w="0" w:type="dxa"/>
              <w:bottom w:w="0" w:type="dxa"/>
              <w:right w:w="0" w:type="dxa"/>
            </w:tcMar>
            <w:vAlign w:val="center"/>
          </w:tcPr>
          <w:p w14:paraId="5AFC26A6" w14:textId="77777777" w:rsidR="002117B2" w:rsidRDefault="002117B2">
            <w:pPr>
              <w:spacing w:after="0"/>
              <w:ind w:left="2" w:right="2"/>
            </w:pPr>
          </w:p>
        </w:tc>
      </w:tr>
      <w:tr w:rsidR="002117B2" w14:paraId="0BED64E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59E2BC5"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001D57F" w14:textId="77777777" w:rsidR="002117B2" w:rsidRDefault="00616284">
            <w:pPr>
              <w:spacing w:after="0"/>
              <w:ind w:left="2" w:right="2"/>
            </w:pPr>
            <w:r>
              <w:rPr>
                <w:rFonts w:ascii="Calibri" w:eastAsia="Calibri" w:hAnsi="Calibri" w:cs="Calibri"/>
                <w:color w:val="111111"/>
                <w:sz w:val="18"/>
                <w:szCs w:val="18"/>
              </w:rPr>
              <w:t>Reviewed by (Quality Controller):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683412" w14:textId="77777777" w:rsidR="002117B2" w:rsidRDefault="00616284">
            <w:pPr>
              <w:spacing w:after="0"/>
              <w:ind w:left="2" w:right="2"/>
            </w:pPr>
            <w:r>
              <w:rPr>
                <w:rFonts w:ascii="Calibri" w:eastAsia="Calibri" w:hAnsi="Calibri" w:cs="Calibri"/>
                <w:color w:val="111111"/>
                <w:sz w:val="18"/>
                <w:szCs w:val="18"/>
              </w:rPr>
              <w:t>Chris Dore</w:t>
            </w:r>
          </w:p>
        </w:tc>
        <w:tc>
          <w:tcPr>
            <w:tcW w:w="216" w:type="dxa"/>
            <w:tcBorders>
              <w:right w:val="single" w:sz="8" w:space="0" w:color="000000"/>
            </w:tcBorders>
            <w:shd w:val="clear" w:color="auto" w:fill="BDD7EE"/>
            <w:tcMar>
              <w:top w:w="0" w:type="dxa"/>
              <w:left w:w="0" w:type="dxa"/>
              <w:bottom w:w="0" w:type="dxa"/>
              <w:right w:w="0" w:type="dxa"/>
            </w:tcMar>
            <w:vAlign w:val="center"/>
          </w:tcPr>
          <w:p w14:paraId="15A23C3B" w14:textId="77777777" w:rsidR="002117B2" w:rsidRDefault="002117B2">
            <w:pPr>
              <w:spacing w:after="0"/>
              <w:ind w:left="2" w:right="2"/>
            </w:pPr>
          </w:p>
        </w:tc>
      </w:tr>
      <w:tr w:rsidR="002117B2" w14:paraId="542A9A9A"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D458DA3"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60576484"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13B80A4A"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166F6B16"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4B6BF94B"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084784F8"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3AC4E5F3"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2EB67C89"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9D464C5" w14:textId="77777777" w:rsidR="002117B2" w:rsidRDefault="002117B2">
            <w:pPr>
              <w:spacing w:after="0"/>
              <w:ind w:left="2" w:right="2"/>
            </w:pPr>
          </w:p>
        </w:tc>
      </w:tr>
      <w:tr w:rsidR="002117B2" w14:paraId="62D3B67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179F944"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F5C47B9" w14:textId="77777777" w:rsidR="002117B2" w:rsidRDefault="00616284">
            <w:pPr>
              <w:spacing w:after="0"/>
              <w:ind w:left="2" w:right="2"/>
            </w:pPr>
            <w:r>
              <w:rPr>
                <w:rFonts w:ascii="Calibri" w:eastAsia="Calibri" w:hAnsi="Calibri" w:cs="Calibri"/>
                <w:color w:val="111111"/>
                <w:sz w:val="18"/>
                <w:szCs w:val="18"/>
              </w:rPr>
              <w:t>The underlying problem:</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384984" w14:textId="6CFA8D8A" w:rsidR="002117B2" w:rsidRDefault="00616284">
            <w:pPr>
              <w:spacing w:after="0"/>
              <w:ind w:left="2" w:right="2"/>
            </w:pPr>
            <w:r>
              <w:rPr>
                <w:rFonts w:ascii="Calibri" w:eastAsia="Calibri" w:hAnsi="Calibri" w:cs="Calibri"/>
                <w:color w:val="111111"/>
                <w:sz w:val="18"/>
                <w:szCs w:val="18"/>
              </w:rPr>
              <w:t xml:space="preserve">A RE was agreed by Lithuania during the 2019 review. It has been implemented in the 2020 NFR Tables, but the </w:t>
            </w: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xml:space="preserve"> emissions for the year 2005, 2016 and 2017 differ from the RE agreed and the 2020 NFR Tables. The AD for Road construction provided by Lithuania during the review match the ones provided in the 2019 review for 2005, so that the TERT cannot understand the origin of the recalculations. </w:t>
            </w:r>
            <w:r>
              <w:rPr>
                <w:rFonts w:ascii="Calibri" w:eastAsia="Calibri" w:hAnsi="Calibri" w:cs="Calibri"/>
                <w:color w:val="111111"/>
                <w:sz w:val="18"/>
                <w:szCs w:val="18"/>
              </w:rPr>
              <w:br/>
              <w:t xml:space="preserve">Lithuania did not justify the data used for the </w:t>
            </w:r>
            <w:r w:rsidR="00752435">
              <w:rPr>
                <w:rFonts w:ascii="Calibri" w:eastAsia="Calibri" w:hAnsi="Calibri" w:cs="Calibri"/>
                <w:color w:val="111111"/>
                <w:sz w:val="18"/>
                <w:szCs w:val="18"/>
              </w:rPr>
              <w:t>recalculation but</w:t>
            </w:r>
            <w:r>
              <w:rPr>
                <w:rFonts w:ascii="Calibri" w:eastAsia="Calibri" w:hAnsi="Calibri" w:cs="Calibri"/>
                <w:color w:val="111111"/>
                <w:sz w:val="18"/>
                <w:szCs w:val="18"/>
              </w:rPr>
              <w:t xml:space="preserve"> answer that the problem was on negative values when calculating </w:t>
            </w:r>
            <w:r w:rsidR="003F6FD9">
              <w:rPr>
                <w:rFonts w:ascii="Calibri" w:eastAsia="Calibri" w:hAnsi="Calibri" w:cs="Calibri"/>
                <w:color w:val="111111"/>
                <w:sz w:val="18"/>
                <w:szCs w:val="18"/>
              </w:rPr>
              <w:t>length</w:t>
            </w:r>
            <w:r>
              <w:rPr>
                <w:rFonts w:ascii="Calibri" w:eastAsia="Calibri" w:hAnsi="Calibri" w:cs="Calibri"/>
                <w:color w:val="111111"/>
                <w:sz w:val="18"/>
                <w:szCs w:val="18"/>
              </w:rPr>
              <w:t xml:space="preserve"> of roads built per year.</w:t>
            </w:r>
          </w:p>
        </w:tc>
        <w:tc>
          <w:tcPr>
            <w:tcW w:w="216" w:type="dxa"/>
            <w:tcBorders>
              <w:right w:val="single" w:sz="8" w:space="0" w:color="000000"/>
            </w:tcBorders>
            <w:shd w:val="clear" w:color="auto" w:fill="BDD7EE"/>
            <w:tcMar>
              <w:top w:w="0" w:type="dxa"/>
              <w:left w:w="0" w:type="dxa"/>
              <w:bottom w:w="0" w:type="dxa"/>
              <w:right w:w="0" w:type="dxa"/>
            </w:tcMar>
            <w:vAlign w:val="center"/>
          </w:tcPr>
          <w:p w14:paraId="546932EE" w14:textId="77777777" w:rsidR="002117B2" w:rsidRDefault="002117B2">
            <w:pPr>
              <w:spacing w:after="0"/>
              <w:ind w:left="2" w:right="2"/>
            </w:pPr>
          </w:p>
        </w:tc>
      </w:tr>
      <w:tr w:rsidR="002117B2" w14:paraId="04C22EE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F0BE38C"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625566A" w14:textId="77777777" w:rsidR="002117B2" w:rsidRDefault="00616284">
            <w:pPr>
              <w:spacing w:after="0"/>
              <w:ind w:left="2" w:right="2"/>
            </w:pPr>
            <w:r>
              <w:rPr>
                <w:rFonts w:ascii="Calibri" w:eastAsia="Calibri" w:hAnsi="Calibri" w:cs="Calibri"/>
                <w:color w:val="111111"/>
                <w:sz w:val="18"/>
                <w:szCs w:val="18"/>
              </w:rPr>
              <w:t>Summarise the methodology used:</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70F15B" w14:textId="77777777" w:rsidR="002117B2" w:rsidRDefault="00616284">
            <w:pPr>
              <w:spacing w:after="0"/>
              <w:ind w:left="2" w:right="2"/>
            </w:pPr>
            <w:r>
              <w:rPr>
                <w:rFonts w:ascii="Calibri" w:eastAsia="Calibri" w:hAnsi="Calibri" w:cs="Calibri"/>
                <w:color w:val="111111"/>
                <w:sz w:val="18"/>
                <w:szCs w:val="18"/>
              </w:rPr>
              <w:t>The TERT used the PM2,5 emissions calculated from the 2019 PTC, as the AD for road construction match the ones provided by Lithuania during the 2020 review and the new AD for 2018 provided to estimate the emission for this PTC.</w:t>
            </w:r>
          </w:p>
        </w:tc>
        <w:tc>
          <w:tcPr>
            <w:tcW w:w="216" w:type="dxa"/>
            <w:tcBorders>
              <w:right w:val="single" w:sz="8" w:space="0" w:color="000000"/>
            </w:tcBorders>
            <w:shd w:val="clear" w:color="auto" w:fill="BDD7EE"/>
            <w:tcMar>
              <w:top w:w="0" w:type="dxa"/>
              <w:left w:w="0" w:type="dxa"/>
              <w:bottom w:w="0" w:type="dxa"/>
              <w:right w:w="0" w:type="dxa"/>
            </w:tcMar>
            <w:vAlign w:val="center"/>
          </w:tcPr>
          <w:p w14:paraId="74E80985" w14:textId="77777777" w:rsidR="002117B2" w:rsidRDefault="002117B2">
            <w:pPr>
              <w:spacing w:after="0"/>
              <w:ind w:left="2" w:right="2"/>
            </w:pPr>
          </w:p>
        </w:tc>
      </w:tr>
      <w:tr w:rsidR="002117B2" w14:paraId="07626F4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88D0F15"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46886BF3"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7AA22284"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3913089B"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2A3DF674"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2624994F"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651A2504"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370B08EF"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3D6283AE" w14:textId="77777777" w:rsidR="002117B2" w:rsidRDefault="002117B2">
            <w:pPr>
              <w:spacing w:after="0"/>
              <w:ind w:left="2" w:right="2"/>
            </w:pPr>
          </w:p>
        </w:tc>
      </w:tr>
      <w:tr w:rsidR="002117B2" w14:paraId="53682FB0"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6547C37" w14:textId="77777777" w:rsidR="002117B2" w:rsidRDefault="00616284">
            <w:pPr>
              <w:spacing w:after="0"/>
              <w:ind w:left="2" w:right="2"/>
              <w:jc w:val="center"/>
            </w:pPr>
            <w:r>
              <w:rPr>
                <w:rFonts w:ascii="Calibri" w:eastAsia="Calibri" w:hAnsi="Calibri" w:cs="Calibri"/>
                <w:b/>
                <w:color w:val="FFFFFF"/>
                <w:sz w:val="18"/>
                <w:szCs w:val="18"/>
              </w:rPr>
              <w:t>2</w:t>
            </w:r>
          </w:p>
        </w:tc>
        <w:tc>
          <w:tcPr>
            <w:tcW w:w="9143" w:type="dxa"/>
            <w:gridSpan w:val="8"/>
            <w:tcBorders>
              <w:top w:val="single" w:sz="8" w:space="0" w:color="000000"/>
            </w:tcBorders>
            <w:shd w:val="clear" w:color="auto" w:fill="BDD7EE"/>
            <w:tcMar>
              <w:top w:w="0" w:type="dxa"/>
              <w:left w:w="0" w:type="dxa"/>
              <w:bottom w:w="0" w:type="dxa"/>
              <w:right w:w="0" w:type="dxa"/>
            </w:tcMar>
            <w:vAlign w:val="center"/>
          </w:tcPr>
          <w:p w14:paraId="522E405E" w14:textId="77777777" w:rsidR="002117B2" w:rsidRDefault="00616284">
            <w:pPr>
              <w:spacing w:after="0"/>
              <w:ind w:left="2" w:right="2"/>
            </w:pPr>
            <w:r>
              <w:rPr>
                <w:rFonts w:ascii="Calibri" w:eastAsia="Calibri" w:hAnsi="Calibri" w:cs="Calibri"/>
                <w:b/>
                <w:color w:val="111111"/>
                <w:sz w:val="18"/>
                <w:szCs w:val="18"/>
              </w:rPr>
              <w:t>Details of the corrected estimate</w:t>
            </w:r>
          </w:p>
        </w:tc>
      </w:tr>
      <w:tr w:rsidR="002117B2" w14:paraId="161B475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EFA4F19"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43B95BF5"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90992BB" w14:textId="77777777" w:rsidR="002117B2" w:rsidRDefault="00616284">
            <w:pPr>
              <w:spacing w:after="0"/>
              <w:ind w:left="2" w:right="2"/>
              <w:jc w:val="center"/>
            </w:pPr>
            <w:r>
              <w:rPr>
                <w:rFonts w:ascii="Calibri" w:eastAsia="Calibri" w:hAnsi="Calibri" w:cs="Calibri"/>
                <w:b/>
                <w:color w:val="111111"/>
                <w:sz w:val="18"/>
                <w:szCs w:val="18"/>
              </w:rPr>
              <w:t>Original Estimate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F4EE9C6"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516B229A" w14:textId="77777777" w:rsidR="002117B2" w:rsidRDefault="002117B2">
            <w:pPr>
              <w:spacing w:after="0"/>
              <w:ind w:left="2" w:right="2"/>
              <w:jc w:val="center"/>
            </w:pPr>
          </w:p>
        </w:tc>
      </w:tr>
      <w:tr w:rsidR="002117B2" w14:paraId="3967C172"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F8C7C78"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B8FD359"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7ABC950" w14:textId="55E4AE0D"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456BC95"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E8D74A5" w14:textId="0C8A90EC"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3C0D9F3" w14:textId="7472AB7E"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8760A6E" w14:textId="6412A0D5"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37AFEEC"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709258DB" w14:textId="77777777" w:rsidR="002117B2" w:rsidRDefault="002117B2">
            <w:pPr>
              <w:spacing w:after="0"/>
              <w:ind w:left="2" w:right="2"/>
              <w:jc w:val="center"/>
            </w:pPr>
          </w:p>
        </w:tc>
      </w:tr>
      <w:tr w:rsidR="002117B2" w14:paraId="131C976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C74FDDE"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F3C041E"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76BDE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6019F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CFEFE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33DB2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6AED17" w14:textId="77777777" w:rsidR="002117B2" w:rsidRDefault="00616284">
            <w:pPr>
              <w:spacing w:after="0"/>
              <w:ind w:left="2" w:right="2"/>
            </w:pPr>
            <w:r>
              <w:rPr>
                <w:rFonts w:ascii="Calibri" w:eastAsia="Calibri" w:hAnsi="Calibri" w:cs="Calibri"/>
                <w:color w:val="111111"/>
                <w:sz w:val="18"/>
                <w:szCs w:val="18"/>
              </w:rPr>
              <w:t>1.533</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164C51"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0E7AABC7" w14:textId="77777777" w:rsidR="002117B2" w:rsidRDefault="002117B2">
            <w:pPr>
              <w:spacing w:after="0"/>
              <w:ind w:left="2" w:right="2"/>
            </w:pPr>
          </w:p>
        </w:tc>
      </w:tr>
      <w:tr w:rsidR="002117B2" w14:paraId="4A0E0702"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AEA424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7FCBC04"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C5975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4C56D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ACA60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6A93F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BC4042" w14:textId="77777777" w:rsidR="002117B2" w:rsidRDefault="00616284">
            <w:pPr>
              <w:spacing w:after="0"/>
              <w:ind w:left="2" w:right="2"/>
            </w:pPr>
            <w:r>
              <w:rPr>
                <w:rFonts w:ascii="Calibri" w:eastAsia="Calibri" w:hAnsi="Calibri" w:cs="Calibri"/>
                <w:color w:val="111111"/>
                <w:sz w:val="18"/>
                <w:szCs w:val="18"/>
              </w:rPr>
              <w:t>0.293</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F9D44E"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B52943F" w14:textId="77777777" w:rsidR="002117B2" w:rsidRDefault="002117B2">
            <w:pPr>
              <w:spacing w:after="0"/>
              <w:ind w:left="2" w:right="2"/>
            </w:pPr>
          </w:p>
        </w:tc>
      </w:tr>
      <w:tr w:rsidR="002117B2" w14:paraId="0329137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72FB491"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C2ED42D"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8E905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44838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7743D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72488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543596" w14:textId="77777777" w:rsidR="002117B2" w:rsidRDefault="00616284">
            <w:pPr>
              <w:spacing w:after="0"/>
              <w:ind w:left="2" w:right="2"/>
            </w:pPr>
            <w:r>
              <w:rPr>
                <w:rFonts w:ascii="Calibri" w:eastAsia="Calibri" w:hAnsi="Calibri" w:cs="Calibri"/>
                <w:color w:val="111111"/>
                <w:sz w:val="18"/>
                <w:szCs w:val="18"/>
              </w:rPr>
              <w:t>0.285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98823A"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9C8B087" w14:textId="77777777" w:rsidR="002117B2" w:rsidRDefault="002117B2">
            <w:pPr>
              <w:spacing w:after="0"/>
              <w:ind w:left="2" w:right="2"/>
            </w:pPr>
          </w:p>
        </w:tc>
      </w:tr>
      <w:tr w:rsidR="002117B2" w14:paraId="63D4329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9DDAA8E"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7E4E501"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32128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FEBE7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DD656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88AEB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A2673C" w14:textId="77777777" w:rsidR="002117B2" w:rsidRDefault="00616284">
            <w:pPr>
              <w:spacing w:after="0"/>
              <w:ind w:left="2" w:right="2"/>
            </w:pPr>
            <w:r>
              <w:rPr>
                <w:rFonts w:ascii="Calibri" w:eastAsia="Calibri" w:hAnsi="Calibri" w:cs="Calibri"/>
                <w:color w:val="111111"/>
                <w:sz w:val="18"/>
                <w:szCs w:val="18"/>
              </w:rPr>
              <w:t>0.043</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5F17B3"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71D22FD" w14:textId="77777777" w:rsidR="002117B2" w:rsidRDefault="002117B2">
            <w:pPr>
              <w:spacing w:after="0"/>
              <w:ind w:left="2" w:right="2"/>
            </w:pPr>
          </w:p>
        </w:tc>
      </w:tr>
      <w:tr w:rsidR="002117B2" w14:paraId="22A3664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EA53C78"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40DA63B"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AEE8B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22B90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2127B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FE9AE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8AA6C8" w14:textId="77777777" w:rsidR="002117B2" w:rsidRDefault="00616284">
            <w:pPr>
              <w:spacing w:after="0"/>
              <w:ind w:left="2" w:right="2"/>
            </w:pPr>
            <w:r>
              <w:rPr>
                <w:rFonts w:ascii="Calibri" w:eastAsia="Calibri" w:hAnsi="Calibri" w:cs="Calibri"/>
                <w:color w:val="111111"/>
                <w:sz w:val="18"/>
                <w:szCs w:val="18"/>
              </w:rPr>
              <w:t>0.682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2D05F9"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64AE798" w14:textId="77777777" w:rsidR="002117B2" w:rsidRDefault="002117B2">
            <w:pPr>
              <w:spacing w:after="0"/>
              <w:ind w:left="2" w:right="2"/>
            </w:pPr>
          </w:p>
        </w:tc>
      </w:tr>
      <w:tr w:rsidR="002117B2" w14:paraId="13056EE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1982E4C"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6351EC1"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E9C9C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EE8DE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C733E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1E31D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6A6BDB" w14:textId="77777777" w:rsidR="002117B2" w:rsidRDefault="00616284">
            <w:pPr>
              <w:spacing w:after="0"/>
              <w:ind w:left="2" w:right="2"/>
            </w:pPr>
            <w:r>
              <w:rPr>
                <w:rFonts w:ascii="Calibri" w:eastAsia="Calibri" w:hAnsi="Calibri" w:cs="Calibri"/>
                <w:color w:val="111111"/>
                <w:sz w:val="18"/>
                <w:szCs w:val="18"/>
              </w:rPr>
              <w:t>0.380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B8823C"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B68EAD3" w14:textId="77777777" w:rsidR="002117B2" w:rsidRDefault="002117B2">
            <w:pPr>
              <w:spacing w:after="0"/>
              <w:ind w:left="2" w:right="2"/>
            </w:pPr>
          </w:p>
        </w:tc>
      </w:tr>
      <w:tr w:rsidR="002117B2" w14:paraId="6F9A7AB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27B797D"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65F0A2C0"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5BA080A2"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37739B5F"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691C6127"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00C8069D"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14B268AA"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1B65FB02"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25B3203" w14:textId="77777777" w:rsidR="002117B2" w:rsidRDefault="002117B2">
            <w:pPr>
              <w:spacing w:after="0"/>
              <w:ind w:left="2" w:right="2"/>
            </w:pPr>
          </w:p>
        </w:tc>
      </w:tr>
      <w:tr w:rsidR="002117B2" w14:paraId="55B9307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462839B"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225F8756"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5D7A04B" w14:textId="77777777" w:rsidR="002117B2" w:rsidRDefault="00616284">
            <w:pPr>
              <w:spacing w:after="0"/>
              <w:ind w:left="2" w:right="2"/>
              <w:jc w:val="center"/>
            </w:pPr>
            <w:r>
              <w:rPr>
                <w:rFonts w:ascii="Calibri" w:eastAsia="Calibri" w:hAnsi="Calibri" w:cs="Calibri"/>
                <w:b/>
                <w:color w:val="111111"/>
                <w:sz w:val="18"/>
                <w:szCs w:val="18"/>
              </w:rPr>
              <w:t>Technical Correction calculated by the TERT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C2D43F8"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6F95826B" w14:textId="77777777" w:rsidR="002117B2" w:rsidRDefault="002117B2">
            <w:pPr>
              <w:spacing w:after="0"/>
              <w:ind w:left="2" w:right="2"/>
              <w:jc w:val="center"/>
            </w:pPr>
          </w:p>
        </w:tc>
      </w:tr>
      <w:tr w:rsidR="002117B2" w14:paraId="65F2CAC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C8621B9"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0C888C8"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8341A94" w14:textId="3ABA19D8"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1EC62E6"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49B13AC" w14:textId="342A8AD8"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C4E5DF7" w14:textId="59EAA5CB"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5779437" w14:textId="55E2BE26"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77DC065"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0E4AC84C" w14:textId="77777777" w:rsidR="002117B2" w:rsidRDefault="002117B2">
            <w:pPr>
              <w:spacing w:after="0"/>
              <w:ind w:left="2" w:right="2"/>
              <w:jc w:val="center"/>
            </w:pPr>
          </w:p>
        </w:tc>
      </w:tr>
      <w:tr w:rsidR="002117B2" w14:paraId="1DD7CFD8"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E59EC7E"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AD25A17"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D706A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27673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AFC9C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DCC07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D17C82" w14:textId="77777777" w:rsidR="002117B2" w:rsidRDefault="00616284">
            <w:pPr>
              <w:spacing w:after="0"/>
              <w:ind w:left="2" w:right="2"/>
            </w:pPr>
            <w:r>
              <w:rPr>
                <w:rFonts w:ascii="Calibri" w:eastAsia="Calibri" w:hAnsi="Calibri" w:cs="Calibri"/>
                <w:color w:val="111111"/>
                <w:sz w:val="18"/>
                <w:szCs w:val="18"/>
              </w:rPr>
              <w:t>0.804</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A28629"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2017AFB" w14:textId="77777777" w:rsidR="002117B2" w:rsidRDefault="002117B2">
            <w:pPr>
              <w:spacing w:after="0"/>
              <w:ind w:left="2" w:right="2"/>
            </w:pPr>
          </w:p>
        </w:tc>
      </w:tr>
      <w:tr w:rsidR="002117B2" w14:paraId="02C613D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B4D5114"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02C74A2"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835B2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4D652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2F400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B8D7E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3EFCE7" w14:textId="77777777" w:rsidR="002117B2" w:rsidRDefault="00616284">
            <w:pPr>
              <w:spacing w:after="0"/>
              <w:ind w:left="2" w:right="2"/>
            </w:pPr>
            <w:r>
              <w:rPr>
                <w:rFonts w:ascii="Calibri" w:eastAsia="Calibri" w:hAnsi="Calibri" w:cs="Calibri"/>
                <w:color w:val="111111"/>
                <w:sz w:val="18"/>
                <w:szCs w:val="18"/>
              </w:rPr>
              <w:t>0.293</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78F0CE"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CBABBDE" w14:textId="77777777" w:rsidR="002117B2" w:rsidRDefault="002117B2">
            <w:pPr>
              <w:spacing w:after="0"/>
              <w:ind w:left="2" w:right="2"/>
            </w:pPr>
          </w:p>
        </w:tc>
      </w:tr>
      <w:tr w:rsidR="002117B2" w14:paraId="47E66B8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3F49B18"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9EE95BA"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F2DF4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6C3B6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2F900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B4F33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E49328" w14:textId="77777777" w:rsidR="002117B2" w:rsidRDefault="00616284">
            <w:pPr>
              <w:spacing w:after="0"/>
              <w:ind w:left="2" w:right="2"/>
            </w:pPr>
            <w:r>
              <w:rPr>
                <w:rFonts w:ascii="Calibri" w:eastAsia="Calibri" w:hAnsi="Calibri" w:cs="Calibri"/>
                <w:color w:val="111111"/>
                <w:sz w:val="18"/>
                <w:szCs w:val="18"/>
              </w:rPr>
              <w:t>0.340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EE12CA"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9539E22" w14:textId="77777777" w:rsidR="002117B2" w:rsidRDefault="002117B2">
            <w:pPr>
              <w:spacing w:after="0"/>
              <w:ind w:left="2" w:right="2"/>
            </w:pPr>
          </w:p>
        </w:tc>
      </w:tr>
      <w:tr w:rsidR="002117B2" w14:paraId="23A08099"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DB7C01B"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D51B023"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DF10F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99F2C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036E1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A4841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6C1E40" w14:textId="77777777" w:rsidR="002117B2" w:rsidRDefault="00616284">
            <w:pPr>
              <w:spacing w:after="0"/>
              <w:ind w:left="2" w:right="2"/>
            </w:pPr>
            <w:r>
              <w:rPr>
                <w:rFonts w:ascii="Calibri" w:eastAsia="Calibri" w:hAnsi="Calibri" w:cs="Calibri"/>
                <w:color w:val="111111"/>
                <w:sz w:val="18"/>
                <w:szCs w:val="18"/>
              </w:rPr>
              <w:t>0.337</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D16A6C"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8EC7DBC" w14:textId="77777777" w:rsidR="002117B2" w:rsidRDefault="002117B2">
            <w:pPr>
              <w:spacing w:after="0"/>
              <w:ind w:left="2" w:right="2"/>
            </w:pPr>
          </w:p>
        </w:tc>
      </w:tr>
      <w:tr w:rsidR="002117B2" w14:paraId="790BBC0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F722541"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90C06E1"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70BE8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4A244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5D719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DC36A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297B83" w14:textId="77777777" w:rsidR="002117B2" w:rsidRDefault="00616284">
            <w:pPr>
              <w:spacing w:after="0"/>
              <w:ind w:left="2" w:right="2"/>
            </w:pPr>
            <w:r>
              <w:rPr>
                <w:rFonts w:ascii="Calibri" w:eastAsia="Calibri" w:hAnsi="Calibri" w:cs="Calibri"/>
                <w:color w:val="111111"/>
                <w:sz w:val="18"/>
                <w:szCs w:val="18"/>
              </w:rPr>
              <w:t>0.333</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741812"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0CC4F51" w14:textId="77777777" w:rsidR="002117B2" w:rsidRDefault="002117B2">
            <w:pPr>
              <w:spacing w:after="0"/>
              <w:ind w:left="2" w:right="2"/>
            </w:pPr>
          </w:p>
        </w:tc>
      </w:tr>
      <w:tr w:rsidR="002117B2" w14:paraId="7B6F6EF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2393E1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90F172C"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F8DCA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35113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E12C3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6A024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E68F4C" w14:textId="77777777" w:rsidR="002117B2" w:rsidRDefault="00616284">
            <w:pPr>
              <w:spacing w:after="0"/>
              <w:ind w:left="2" w:right="2"/>
            </w:pPr>
            <w:r>
              <w:rPr>
                <w:rFonts w:ascii="Calibri" w:eastAsia="Calibri" w:hAnsi="Calibri" w:cs="Calibri"/>
                <w:color w:val="111111"/>
                <w:sz w:val="18"/>
                <w:szCs w:val="18"/>
              </w:rPr>
              <w:t>0.380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143C3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B56C925" w14:textId="77777777" w:rsidR="002117B2" w:rsidRDefault="002117B2">
            <w:pPr>
              <w:spacing w:after="0"/>
              <w:ind w:left="2" w:right="2"/>
            </w:pPr>
          </w:p>
        </w:tc>
      </w:tr>
      <w:tr w:rsidR="002117B2" w14:paraId="3A2CAA9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D0235D4"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58D7F655"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7011FF81"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7D83F5E4"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4A7D19BF"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3C51A036"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227BF9B5"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0927502D"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43B8366" w14:textId="77777777" w:rsidR="002117B2" w:rsidRDefault="002117B2">
            <w:pPr>
              <w:spacing w:after="0"/>
              <w:ind w:left="2" w:right="2"/>
            </w:pPr>
          </w:p>
        </w:tc>
      </w:tr>
      <w:tr w:rsidR="002117B2" w14:paraId="2CAB204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E99F23F"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52EF30FA"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D36DBB5" w14:textId="77777777" w:rsidR="002117B2" w:rsidRDefault="00616284">
            <w:pPr>
              <w:spacing w:after="0"/>
              <w:ind w:left="2" w:right="2"/>
              <w:jc w:val="center"/>
            </w:pPr>
            <w:r>
              <w:rPr>
                <w:rFonts w:ascii="Calibri" w:eastAsia="Calibri" w:hAnsi="Calibri" w:cs="Calibri"/>
                <w:b/>
                <w:color w:val="111111"/>
                <w:sz w:val="18"/>
                <w:szCs w:val="18"/>
              </w:rPr>
              <w:t>Difference between Original Estimate and Technical Correction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C979660"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5E70E918" w14:textId="77777777" w:rsidR="002117B2" w:rsidRDefault="002117B2">
            <w:pPr>
              <w:spacing w:after="0"/>
              <w:ind w:left="2" w:right="2"/>
              <w:jc w:val="center"/>
            </w:pPr>
          </w:p>
        </w:tc>
      </w:tr>
      <w:tr w:rsidR="002117B2" w14:paraId="61CD41C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C010B9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F279A79"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D5DC0E9" w14:textId="566EB822"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0BEAA40"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D96199C" w14:textId="04047B8A"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2617701" w14:textId="58BB0C6B"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01F0241" w14:textId="491075C5"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0A66DDA"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3BD126E0" w14:textId="77777777" w:rsidR="002117B2" w:rsidRDefault="002117B2">
            <w:pPr>
              <w:spacing w:after="0"/>
              <w:ind w:left="2" w:right="2"/>
              <w:jc w:val="center"/>
            </w:pPr>
          </w:p>
        </w:tc>
      </w:tr>
      <w:tr w:rsidR="002117B2" w14:paraId="4AC85699"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A6075E9"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1983B99"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3308C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E50DA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4A27B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E2AC7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FE226C" w14:textId="77777777" w:rsidR="002117B2" w:rsidRDefault="00616284">
            <w:pPr>
              <w:spacing w:after="0"/>
              <w:ind w:left="2" w:right="2"/>
            </w:pPr>
            <w:r>
              <w:rPr>
                <w:rFonts w:ascii="Calibri" w:eastAsia="Calibri" w:hAnsi="Calibri" w:cs="Calibri"/>
                <w:color w:val="111111"/>
                <w:sz w:val="18"/>
                <w:szCs w:val="18"/>
              </w:rPr>
              <w:t>-0.729</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7B6BFD"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4EAB255" w14:textId="77777777" w:rsidR="002117B2" w:rsidRDefault="002117B2">
            <w:pPr>
              <w:spacing w:after="0"/>
              <w:ind w:left="2" w:right="2"/>
            </w:pPr>
          </w:p>
        </w:tc>
      </w:tr>
      <w:tr w:rsidR="002117B2" w14:paraId="6C8577D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2AEFEC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E6FFD6B"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59BA6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50EBA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6DC87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B0C37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489B28" w14:textId="77777777" w:rsidR="002117B2" w:rsidRDefault="00616284">
            <w:pPr>
              <w:spacing w:after="0"/>
              <w:ind w:left="2" w:right="2"/>
            </w:pPr>
            <w:r>
              <w:rPr>
                <w:rFonts w:ascii="Calibri" w:eastAsia="Calibri" w:hAnsi="Calibri" w:cs="Calibri"/>
                <w:color w:val="111111"/>
                <w:sz w:val="18"/>
                <w:szCs w:val="18"/>
              </w:rPr>
              <w:t>1e-16</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7513F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58BBAAE" w14:textId="77777777" w:rsidR="002117B2" w:rsidRDefault="002117B2">
            <w:pPr>
              <w:spacing w:after="0"/>
              <w:ind w:left="2" w:right="2"/>
            </w:pPr>
          </w:p>
        </w:tc>
      </w:tr>
      <w:tr w:rsidR="002117B2" w14:paraId="2BBDDCD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753F3C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ABD31BA"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298B2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CB53A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55A96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51A06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8449AA" w14:textId="77777777" w:rsidR="002117B2" w:rsidRDefault="00616284">
            <w:pPr>
              <w:spacing w:after="0"/>
              <w:ind w:left="2" w:right="2"/>
            </w:pPr>
            <w:r>
              <w:rPr>
                <w:rFonts w:ascii="Calibri" w:eastAsia="Calibri" w:hAnsi="Calibri" w:cs="Calibri"/>
                <w:color w:val="111111"/>
                <w:sz w:val="18"/>
                <w:szCs w:val="18"/>
              </w:rPr>
              <w:t>0.055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0AF777"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6C4820C" w14:textId="77777777" w:rsidR="002117B2" w:rsidRDefault="002117B2">
            <w:pPr>
              <w:spacing w:after="0"/>
              <w:ind w:left="2" w:right="2"/>
            </w:pPr>
          </w:p>
        </w:tc>
      </w:tr>
      <w:tr w:rsidR="002117B2" w14:paraId="3F36DAD9"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DCD7C05"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F1B9ED6"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A95B7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2701B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7A356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60965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74C8EC" w14:textId="77777777" w:rsidR="002117B2" w:rsidRDefault="00616284">
            <w:pPr>
              <w:spacing w:after="0"/>
              <w:ind w:left="2" w:right="2"/>
            </w:pPr>
            <w:r>
              <w:rPr>
                <w:rFonts w:ascii="Calibri" w:eastAsia="Calibri" w:hAnsi="Calibri" w:cs="Calibri"/>
                <w:color w:val="111111"/>
                <w:sz w:val="18"/>
                <w:szCs w:val="18"/>
              </w:rPr>
              <w:t>0.294</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4CD17C"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00D7464" w14:textId="77777777" w:rsidR="002117B2" w:rsidRDefault="002117B2">
            <w:pPr>
              <w:spacing w:after="0"/>
              <w:ind w:left="2" w:right="2"/>
            </w:pPr>
          </w:p>
        </w:tc>
      </w:tr>
      <w:tr w:rsidR="002117B2" w14:paraId="7694DCD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6768B5A"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CCCD156"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87C1A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1E30B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3FA3A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7679D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2BFE39" w14:textId="77777777" w:rsidR="002117B2" w:rsidRDefault="00616284">
            <w:pPr>
              <w:spacing w:after="0"/>
              <w:ind w:left="2" w:right="2"/>
            </w:pPr>
            <w:r>
              <w:rPr>
                <w:rFonts w:ascii="Calibri" w:eastAsia="Calibri" w:hAnsi="Calibri" w:cs="Calibri"/>
                <w:color w:val="111111"/>
                <w:sz w:val="18"/>
                <w:szCs w:val="18"/>
              </w:rPr>
              <w:t>-0.350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C4BAE1"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042326A" w14:textId="77777777" w:rsidR="002117B2" w:rsidRDefault="002117B2">
            <w:pPr>
              <w:spacing w:after="0"/>
              <w:ind w:left="2" w:right="2"/>
            </w:pPr>
          </w:p>
        </w:tc>
      </w:tr>
      <w:tr w:rsidR="002117B2" w14:paraId="60180CB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7E8A66E"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34595B7"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8D597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ADBE6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6DB07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185AB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5C0362" w14:textId="77777777" w:rsidR="002117B2" w:rsidRDefault="00616284">
            <w:pPr>
              <w:spacing w:after="0"/>
              <w:ind w:left="2" w:right="2"/>
            </w:pPr>
            <w:r>
              <w:rPr>
                <w:rFonts w:ascii="Calibri" w:eastAsia="Calibri" w:hAnsi="Calibri" w:cs="Calibri"/>
                <w:color w:val="111111"/>
                <w:sz w:val="18"/>
                <w:szCs w:val="18"/>
              </w:rPr>
              <w:t>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FA7A3A"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82FE2AD" w14:textId="77777777" w:rsidR="002117B2" w:rsidRDefault="002117B2">
            <w:pPr>
              <w:spacing w:after="0"/>
              <w:ind w:left="2" w:right="2"/>
            </w:pPr>
          </w:p>
        </w:tc>
      </w:tr>
      <w:tr w:rsidR="002117B2" w14:paraId="4548290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5ADC5A5"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4683FEA4"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50CCC027"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59F48B8E"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159ABC4D"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6C369728"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0551DAC9"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3043113C"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17F8F7D3" w14:textId="77777777" w:rsidR="002117B2" w:rsidRDefault="002117B2">
            <w:pPr>
              <w:spacing w:after="0"/>
              <w:ind w:left="2" w:right="2"/>
            </w:pPr>
          </w:p>
        </w:tc>
      </w:tr>
    </w:tbl>
    <w:p w14:paraId="7C59CC8C" w14:textId="77777777" w:rsidR="002117B2" w:rsidRDefault="00616284">
      <w:r>
        <w:br w:type="page"/>
      </w:r>
    </w:p>
    <w:tbl>
      <w:tblPr>
        <w:tblW w:w="9376" w:type="dxa"/>
        <w:jc w:val="center"/>
        <w:tblLayout w:type="fixed"/>
        <w:tblLook w:val="0420" w:firstRow="1" w:lastRow="0" w:firstColumn="0" w:lastColumn="0" w:noHBand="0" w:noVBand="1"/>
      </w:tblPr>
      <w:tblGrid>
        <w:gridCol w:w="217"/>
        <w:gridCol w:w="1440"/>
        <w:gridCol w:w="1123"/>
        <w:gridCol w:w="1123"/>
        <w:gridCol w:w="1123"/>
        <w:gridCol w:w="1123"/>
        <w:gridCol w:w="1123"/>
        <w:gridCol w:w="1872"/>
        <w:gridCol w:w="232"/>
      </w:tblGrid>
      <w:tr w:rsidR="002117B2" w14:paraId="2F9E7C25" w14:textId="77777777" w:rsidTr="00E50FE7">
        <w:trPr>
          <w:cantSplit/>
          <w:jc w:val="center"/>
        </w:trPr>
        <w:tc>
          <w:tcPr>
            <w:tcW w:w="217"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C09181D" w14:textId="77777777" w:rsidR="002117B2" w:rsidRDefault="00616284">
            <w:pPr>
              <w:spacing w:after="0"/>
              <w:ind w:left="2" w:right="2"/>
              <w:jc w:val="center"/>
            </w:pPr>
            <w:r>
              <w:rPr>
                <w:rFonts w:ascii="Calibri" w:eastAsia="Calibri" w:hAnsi="Calibri" w:cs="Calibri"/>
                <w:b/>
                <w:color w:val="FFFFFF"/>
                <w:sz w:val="18"/>
                <w:szCs w:val="18"/>
              </w:rPr>
              <w:t>1</w:t>
            </w:r>
          </w:p>
        </w:tc>
        <w:tc>
          <w:tcPr>
            <w:tcW w:w="1440" w:type="dxa"/>
            <w:tcBorders>
              <w:top w:val="single" w:sz="8" w:space="0" w:color="000000"/>
            </w:tcBorders>
            <w:shd w:val="clear" w:color="auto" w:fill="BDD7EE"/>
            <w:tcMar>
              <w:top w:w="0" w:type="dxa"/>
              <w:left w:w="0" w:type="dxa"/>
              <w:bottom w:w="0" w:type="dxa"/>
              <w:right w:w="0" w:type="dxa"/>
            </w:tcMar>
            <w:vAlign w:val="center"/>
          </w:tcPr>
          <w:p w14:paraId="23EED0C0" w14:textId="77777777" w:rsidR="002117B2" w:rsidRPr="00E50FE7" w:rsidRDefault="002117B2">
            <w:pPr>
              <w:spacing w:after="0"/>
              <w:ind w:left="2" w:right="2"/>
              <w:rPr>
                <w:sz w:val="20"/>
                <w:szCs w:val="20"/>
              </w:rPr>
            </w:pPr>
          </w:p>
        </w:tc>
        <w:tc>
          <w:tcPr>
            <w:tcW w:w="1123" w:type="dxa"/>
            <w:tcBorders>
              <w:top w:val="single" w:sz="8" w:space="0" w:color="000000"/>
            </w:tcBorders>
            <w:shd w:val="clear" w:color="auto" w:fill="BDD7EE"/>
            <w:tcMar>
              <w:top w:w="0" w:type="dxa"/>
              <w:left w:w="0" w:type="dxa"/>
              <w:bottom w:w="0" w:type="dxa"/>
              <w:right w:w="0" w:type="dxa"/>
            </w:tcMar>
            <w:vAlign w:val="center"/>
          </w:tcPr>
          <w:p w14:paraId="1BCB22C7" w14:textId="77777777" w:rsidR="002117B2" w:rsidRPr="00E50FE7" w:rsidRDefault="002117B2">
            <w:pPr>
              <w:spacing w:after="0"/>
              <w:ind w:left="2" w:right="2"/>
              <w:rPr>
                <w:sz w:val="20"/>
                <w:szCs w:val="20"/>
              </w:rPr>
            </w:pPr>
          </w:p>
        </w:tc>
        <w:tc>
          <w:tcPr>
            <w:tcW w:w="1123" w:type="dxa"/>
            <w:tcBorders>
              <w:top w:val="single" w:sz="8" w:space="0" w:color="000000"/>
            </w:tcBorders>
            <w:shd w:val="clear" w:color="auto" w:fill="BDD7EE"/>
            <w:tcMar>
              <w:top w:w="0" w:type="dxa"/>
              <w:left w:w="0" w:type="dxa"/>
              <w:bottom w:w="0" w:type="dxa"/>
              <w:right w:w="0" w:type="dxa"/>
            </w:tcMar>
            <w:vAlign w:val="center"/>
          </w:tcPr>
          <w:p w14:paraId="5B01FBA4" w14:textId="77777777" w:rsidR="002117B2" w:rsidRPr="00E50FE7" w:rsidRDefault="002117B2">
            <w:pPr>
              <w:spacing w:after="0"/>
              <w:ind w:left="2" w:right="2"/>
              <w:rPr>
                <w:sz w:val="20"/>
                <w:szCs w:val="20"/>
              </w:rPr>
            </w:pPr>
          </w:p>
        </w:tc>
        <w:tc>
          <w:tcPr>
            <w:tcW w:w="1123" w:type="dxa"/>
            <w:tcBorders>
              <w:top w:val="single" w:sz="8" w:space="0" w:color="000000"/>
            </w:tcBorders>
            <w:shd w:val="clear" w:color="auto" w:fill="BDD7EE"/>
            <w:tcMar>
              <w:top w:w="0" w:type="dxa"/>
              <w:left w:w="0" w:type="dxa"/>
              <w:bottom w:w="0" w:type="dxa"/>
              <w:right w:w="0" w:type="dxa"/>
            </w:tcMar>
            <w:vAlign w:val="center"/>
          </w:tcPr>
          <w:p w14:paraId="761FAA20" w14:textId="77777777" w:rsidR="002117B2" w:rsidRPr="00E50FE7" w:rsidRDefault="002117B2">
            <w:pPr>
              <w:spacing w:after="0"/>
              <w:ind w:left="2" w:right="2"/>
              <w:rPr>
                <w:sz w:val="20"/>
                <w:szCs w:val="20"/>
              </w:rPr>
            </w:pPr>
          </w:p>
        </w:tc>
        <w:tc>
          <w:tcPr>
            <w:tcW w:w="1123" w:type="dxa"/>
            <w:tcBorders>
              <w:top w:val="single" w:sz="8" w:space="0" w:color="000000"/>
            </w:tcBorders>
            <w:shd w:val="clear" w:color="auto" w:fill="BDD7EE"/>
            <w:tcMar>
              <w:top w:w="0" w:type="dxa"/>
              <w:left w:w="0" w:type="dxa"/>
              <w:bottom w:w="0" w:type="dxa"/>
              <w:right w:w="0" w:type="dxa"/>
            </w:tcMar>
            <w:vAlign w:val="center"/>
          </w:tcPr>
          <w:p w14:paraId="37CE8EE1" w14:textId="77777777" w:rsidR="002117B2" w:rsidRPr="00E50FE7" w:rsidRDefault="002117B2">
            <w:pPr>
              <w:spacing w:after="0"/>
              <w:ind w:left="2" w:right="2"/>
              <w:rPr>
                <w:sz w:val="20"/>
                <w:szCs w:val="20"/>
              </w:rPr>
            </w:pPr>
          </w:p>
        </w:tc>
        <w:tc>
          <w:tcPr>
            <w:tcW w:w="1123" w:type="dxa"/>
            <w:tcBorders>
              <w:top w:val="single" w:sz="8" w:space="0" w:color="000000"/>
            </w:tcBorders>
            <w:shd w:val="clear" w:color="auto" w:fill="BDD7EE"/>
            <w:tcMar>
              <w:top w:w="0" w:type="dxa"/>
              <w:left w:w="0" w:type="dxa"/>
              <w:bottom w:w="0" w:type="dxa"/>
              <w:right w:w="0" w:type="dxa"/>
            </w:tcMar>
            <w:vAlign w:val="center"/>
          </w:tcPr>
          <w:p w14:paraId="0A4C0DF5" w14:textId="77777777" w:rsidR="002117B2" w:rsidRPr="00E50FE7" w:rsidRDefault="002117B2">
            <w:pPr>
              <w:spacing w:after="0"/>
              <w:ind w:left="2" w:right="2"/>
              <w:rPr>
                <w:sz w:val="20"/>
                <w:szCs w:val="20"/>
              </w:rPr>
            </w:pPr>
          </w:p>
        </w:tc>
        <w:tc>
          <w:tcPr>
            <w:tcW w:w="1872" w:type="dxa"/>
            <w:tcBorders>
              <w:top w:val="single" w:sz="8" w:space="0" w:color="000000"/>
            </w:tcBorders>
            <w:shd w:val="clear" w:color="auto" w:fill="BDD7EE"/>
            <w:tcMar>
              <w:top w:w="0" w:type="dxa"/>
              <w:left w:w="0" w:type="dxa"/>
              <w:bottom w:w="0" w:type="dxa"/>
              <w:right w:w="0" w:type="dxa"/>
            </w:tcMar>
            <w:vAlign w:val="center"/>
          </w:tcPr>
          <w:p w14:paraId="22C016AB" w14:textId="77777777" w:rsidR="002117B2" w:rsidRPr="00E50FE7" w:rsidRDefault="002117B2">
            <w:pPr>
              <w:spacing w:after="0"/>
              <w:ind w:left="2" w:right="2"/>
              <w:rPr>
                <w:sz w:val="20"/>
                <w:szCs w:val="20"/>
              </w:rPr>
            </w:pPr>
          </w:p>
        </w:tc>
        <w:tc>
          <w:tcPr>
            <w:tcW w:w="232" w:type="dxa"/>
            <w:tcBorders>
              <w:top w:val="single" w:sz="8" w:space="0" w:color="000000"/>
              <w:right w:val="single" w:sz="8" w:space="0" w:color="000000"/>
            </w:tcBorders>
            <w:shd w:val="clear" w:color="auto" w:fill="BDD7EE"/>
            <w:tcMar>
              <w:top w:w="0" w:type="dxa"/>
              <w:left w:w="0" w:type="dxa"/>
              <w:bottom w:w="0" w:type="dxa"/>
              <w:right w:w="0" w:type="dxa"/>
            </w:tcMar>
            <w:vAlign w:val="center"/>
          </w:tcPr>
          <w:p w14:paraId="3E326D78" w14:textId="77777777" w:rsidR="002117B2" w:rsidRPr="00E50FE7" w:rsidRDefault="002117B2">
            <w:pPr>
              <w:spacing w:after="0"/>
              <w:ind w:left="2" w:right="2"/>
              <w:rPr>
                <w:sz w:val="20"/>
                <w:szCs w:val="20"/>
              </w:rPr>
            </w:pPr>
          </w:p>
        </w:tc>
      </w:tr>
      <w:tr w:rsidR="002117B2" w14:paraId="4BAD89A5"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E0D7254"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4E7E705" w14:textId="77777777" w:rsidR="002117B2" w:rsidRDefault="00616284">
            <w:pPr>
              <w:spacing w:after="0"/>
              <w:ind w:left="2" w:right="2"/>
            </w:pPr>
            <w:r>
              <w:rPr>
                <w:rFonts w:ascii="Calibri" w:eastAsia="Calibri" w:hAnsi="Calibri" w:cs="Calibri"/>
                <w:color w:val="111111"/>
                <w:sz w:val="18"/>
                <w:szCs w:val="18"/>
              </w:rPr>
              <w:t>EMRT ID:</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9670E0" w14:textId="77777777" w:rsidR="002117B2" w:rsidRDefault="00616284">
            <w:pPr>
              <w:spacing w:after="0"/>
              <w:ind w:left="2" w:right="2"/>
            </w:pPr>
            <w:r>
              <w:rPr>
                <w:rFonts w:ascii="Calibri" w:eastAsia="Calibri" w:hAnsi="Calibri" w:cs="Calibri"/>
                <w:color w:val="111111"/>
                <w:sz w:val="18"/>
                <w:szCs w:val="18"/>
              </w:rPr>
              <w:t>LT-3B1b-2020-0001</w:t>
            </w:r>
          </w:p>
        </w:tc>
        <w:tc>
          <w:tcPr>
            <w:tcW w:w="232" w:type="dxa"/>
            <w:tcBorders>
              <w:right w:val="single" w:sz="8" w:space="0" w:color="000000"/>
            </w:tcBorders>
            <w:shd w:val="clear" w:color="auto" w:fill="BDD7EE"/>
            <w:tcMar>
              <w:top w:w="0" w:type="dxa"/>
              <w:left w:w="0" w:type="dxa"/>
              <w:bottom w:w="0" w:type="dxa"/>
              <w:right w:w="0" w:type="dxa"/>
            </w:tcMar>
            <w:vAlign w:val="center"/>
          </w:tcPr>
          <w:p w14:paraId="697514D8" w14:textId="77777777" w:rsidR="002117B2" w:rsidRDefault="002117B2">
            <w:pPr>
              <w:spacing w:after="0"/>
              <w:ind w:left="2" w:right="2"/>
            </w:pPr>
          </w:p>
        </w:tc>
      </w:tr>
      <w:tr w:rsidR="002117B2" w14:paraId="380E937D"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B865D5A"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CB81A70" w14:textId="77777777" w:rsidR="002117B2" w:rsidRDefault="00616284">
            <w:pPr>
              <w:spacing w:after="0"/>
              <w:ind w:left="2" w:right="2"/>
            </w:pPr>
            <w:r>
              <w:rPr>
                <w:rFonts w:ascii="Calibri" w:eastAsia="Calibri" w:hAnsi="Calibri" w:cs="Calibri"/>
                <w:color w:val="111111"/>
                <w:sz w:val="18"/>
                <w:szCs w:val="18"/>
              </w:rPr>
              <w:t>EMRT URL:</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DB253C" w14:textId="77777777" w:rsidR="002117B2" w:rsidRDefault="00616284">
            <w:pPr>
              <w:spacing w:after="0"/>
              <w:ind w:left="2" w:right="2"/>
            </w:pPr>
            <w:r>
              <w:rPr>
                <w:rFonts w:ascii="Calibri" w:eastAsia="Calibri" w:hAnsi="Calibri" w:cs="Calibri"/>
                <w:color w:val="111111"/>
                <w:sz w:val="18"/>
                <w:szCs w:val="18"/>
              </w:rPr>
              <w:t>https://emrt-necd.eionet.europa.eu/2020/LT-3B1b-2020-0001</w:t>
            </w:r>
          </w:p>
        </w:tc>
        <w:tc>
          <w:tcPr>
            <w:tcW w:w="232" w:type="dxa"/>
            <w:tcBorders>
              <w:right w:val="single" w:sz="8" w:space="0" w:color="000000"/>
            </w:tcBorders>
            <w:shd w:val="clear" w:color="auto" w:fill="BDD7EE"/>
            <w:tcMar>
              <w:top w:w="0" w:type="dxa"/>
              <w:left w:w="0" w:type="dxa"/>
              <w:bottom w:w="0" w:type="dxa"/>
              <w:right w:w="0" w:type="dxa"/>
            </w:tcMar>
            <w:vAlign w:val="center"/>
          </w:tcPr>
          <w:p w14:paraId="6B3053DF" w14:textId="77777777" w:rsidR="002117B2" w:rsidRDefault="002117B2">
            <w:pPr>
              <w:spacing w:after="0"/>
              <w:ind w:left="2" w:right="2"/>
            </w:pPr>
          </w:p>
        </w:tc>
      </w:tr>
      <w:tr w:rsidR="002117B2" w14:paraId="1D66275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23CF775"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7EDFD34" w14:textId="77777777" w:rsidR="002117B2" w:rsidRDefault="00616284">
            <w:pPr>
              <w:spacing w:after="0"/>
              <w:ind w:left="2" w:right="2"/>
            </w:pPr>
            <w:r>
              <w:rPr>
                <w:rFonts w:ascii="Calibri" w:eastAsia="Calibri" w:hAnsi="Calibri" w:cs="Calibri"/>
                <w:color w:val="111111"/>
                <w:sz w:val="18"/>
                <w:szCs w:val="18"/>
              </w:rPr>
              <w:t>Member State:</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176220" w14:textId="77777777" w:rsidR="002117B2" w:rsidRDefault="00616284">
            <w:pPr>
              <w:spacing w:after="0"/>
              <w:ind w:left="2" w:right="2"/>
            </w:pPr>
            <w:r>
              <w:rPr>
                <w:rFonts w:ascii="Calibri" w:eastAsia="Calibri" w:hAnsi="Calibri" w:cs="Calibri"/>
                <w:color w:val="111111"/>
                <w:sz w:val="18"/>
                <w:szCs w:val="18"/>
              </w:rPr>
              <w:t>Lithuania</w:t>
            </w:r>
          </w:p>
        </w:tc>
        <w:tc>
          <w:tcPr>
            <w:tcW w:w="232" w:type="dxa"/>
            <w:tcBorders>
              <w:right w:val="single" w:sz="8" w:space="0" w:color="000000"/>
            </w:tcBorders>
            <w:shd w:val="clear" w:color="auto" w:fill="BDD7EE"/>
            <w:tcMar>
              <w:top w:w="0" w:type="dxa"/>
              <w:left w:w="0" w:type="dxa"/>
              <w:bottom w:w="0" w:type="dxa"/>
              <w:right w:w="0" w:type="dxa"/>
            </w:tcMar>
            <w:vAlign w:val="center"/>
          </w:tcPr>
          <w:p w14:paraId="3C1C1BE0" w14:textId="77777777" w:rsidR="002117B2" w:rsidRDefault="002117B2">
            <w:pPr>
              <w:spacing w:after="0"/>
              <w:ind w:left="2" w:right="2"/>
            </w:pPr>
          </w:p>
        </w:tc>
      </w:tr>
      <w:tr w:rsidR="002117B2" w14:paraId="59BECB64"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2FFC23D"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8CBA09C" w14:textId="77777777" w:rsidR="002117B2" w:rsidRDefault="00616284">
            <w:pPr>
              <w:spacing w:after="0"/>
              <w:ind w:left="2" w:right="2"/>
            </w:pPr>
            <w:r>
              <w:rPr>
                <w:rFonts w:ascii="Calibri" w:eastAsia="Calibri" w:hAnsi="Calibri" w:cs="Calibri"/>
                <w:color w:val="111111"/>
                <w:sz w:val="18"/>
                <w:szCs w:val="18"/>
              </w:rPr>
              <w:t>Sector: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DD63A8" w14:textId="4B7C6CE5" w:rsidR="002117B2" w:rsidRDefault="00616284">
            <w:pPr>
              <w:spacing w:after="0"/>
              <w:ind w:left="2" w:right="2"/>
            </w:pPr>
            <w:r>
              <w:rPr>
                <w:rFonts w:ascii="Calibri" w:eastAsia="Calibri" w:hAnsi="Calibri" w:cs="Calibri"/>
                <w:color w:val="111111"/>
                <w:sz w:val="18"/>
                <w:szCs w:val="18"/>
              </w:rPr>
              <w:t xml:space="preserve">3B1b Manure </w:t>
            </w:r>
            <w:r w:rsidR="00874A03">
              <w:rPr>
                <w:rFonts w:ascii="Calibri" w:eastAsia="Calibri" w:hAnsi="Calibri" w:cs="Calibri"/>
                <w:color w:val="111111"/>
                <w:sz w:val="18"/>
                <w:szCs w:val="18"/>
              </w:rPr>
              <w:t>M</w:t>
            </w:r>
            <w:r>
              <w:rPr>
                <w:rFonts w:ascii="Calibri" w:eastAsia="Calibri" w:hAnsi="Calibri" w:cs="Calibri"/>
                <w:color w:val="111111"/>
                <w:sz w:val="18"/>
                <w:szCs w:val="18"/>
              </w:rPr>
              <w:t>anagement - Non-</w:t>
            </w:r>
            <w:r w:rsidR="00874A03">
              <w:rPr>
                <w:rFonts w:ascii="Calibri" w:eastAsia="Calibri" w:hAnsi="Calibri" w:cs="Calibri"/>
                <w:color w:val="111111"/>
                <w:sz w:val="18"/>
                <w:szCs w:val="18"/>
              </w:rPr>
              <w:t>D</w:t>
            </w:r>
            <w:r>
              <w:rPr>
                <w:rFonts w:ascii="Calibri" w:eastAsia="Calibri" w:hAnsi="Calibri" w:cs="Calibri"/>
                <w:color w:val="111111"/>
                <w:sz w:val="18"/>
                <w:szCs w:val="18"/>
              </w:rPr>
              <w:t xml:space="preserve">airy </w:t>
            </w:r>
            <w:r w:rsidR="00874A03">
              <w:rPr>
                <w:rFonts w:ascii="Calibri" w:eastAsia="Calibri" w:hAnsi="Calibri" w:cs="Calibri"/>
                <w:color w:val="111111"/>
                <w:sz w:val="18"/>
                <w:szCs w:val="18"/>
              </w:rPr>
              <w:t>C</w:t>
            </w:r>
            <w:r>
              <w:rPr>
                <w:rFonts w:ascii="Calibri" w:eastAsia="Calibri" w:hAnsi="Calibri" w:cs="Calibri"/>
                <w:color w:val="111111"/>
                <w:sz w:val="18"/>
                <w:szCs w:val="18"/>
              </w:rPr>
              <w:t>attle</w:t>
            </w:r>
          </w:p>
        </w:tc>
        <w:tc>
          <w:tcPr>
            <w:tcW w:w="232" w:type="dxa"/>
            <w:tcBorders>
              <w:right w:val="single" w:sz="8" w:space="0" w:color="000000"/>
            </w:tcBorders>
            <w:shd w:val="clear" w:color="auto" w:fill="BDD7EE"/>
            <w:tcMar>
              <w:top w:w="0" w:type="dxa"/>
              <w:left w:w="0" w:type="dxa"/>
              <w:bottom w:w="0" w:type="dxa"/>
              <w:right w:w="0" w:type="dxa"/>
            </w:tcMar>
            <w:vAlign w:val="center"/>
          </w:tcPr>
          <w:p w14:paraId="4644D57C" w14:textId="77777777" w:rsidR="002117B2" w:rsidRDefault="002117B2">
            <w:pPr>
              <w:spacing w:after="0"/>
              <w:ind w:left="2" w:right="2"/>
            </w:pPr>
          </w:p>
        </w:tc>
      </w:tr>
      <w:tr w:rsidR="002117B2" w14:paraId="0AFF6FC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78D90E6"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CFC8BAA" w14:textId="77777777" w:rsidR="002117B2" w:rsidRDefault="00616284">
            <w:pPr>
              <w:spacing w:after="0"/>
              <w:ind w:left="2" w:right="2"/>
            </w:pPr>
            <w:r>
              <w:rPr>
                <w:rFonts w:ascii="Calibri" w:eastAsia="Calibri" w:hAnsi="Calibri" w:cs="Calibri"/>
                <w:color w:val="111111"/>
                <w:sz w:val="18"/>
                <w:szCs w:val="18"/>
              </w:rPr>
              <w:t>Pollutants:</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86D6DE" w14:textId="76888B2A" w:rsidR="002117B2" w:rsidRDefault="00616284">
            <w:pPr>
              <w:spacing w:after="0"/>
              <w:ind w:left="2" w:right="2"/>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232" w:type="dxa"/>
            <w:tcBorders>
              <w:right w:val="single" w:sz="8" w:space="0" w:color="000000"/>
            </w:tcBorders>
            <w:shd w:val="clear" w:color="auto" w:fill="BDD7EE"/>
            <w:tcMar>
              <w:top w:w="0" w:type="dxa"/>
              <w:left w:w="0" w:type="dxa"/>
              <w:bottom w:w="0" w:type="dxa"/>
              <w:right w:w="0" w:type="dxa"/>
            </w:tcMar>
            <w:vAlign w:val="center"/>
          </w:tcPr>
          <w:p w14:paraId="52EDE1E2" w14:textId="77777777" w:rsidR="002117B2" w:rsidRDefault="002117B2">
            <w:pPr>
              <w:spacing w:after="0"/>
              <w:ind w:left="2" w:right="2"/>
            </w:pPr>
          </w:p>
        </w:tc>
      </w:tr>
      <w:tr w:rsidR="002117B2" w14:paraId="4EFA2BB9"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46FBC26"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D91C0A4" w14:textId="77777777" w:rsidR="002117B2" w:rsidRDefault="00616284">
            <w:pPr>
              <w:spacing w:after="0"/>
              <w:ind w:left="2" w:right="2"/>
            </w:pPr>
            <w:r>
              <w:rPr>
                <w:rFonts w:ascii="Calibri" w:eastAsia="Calibri" w:hAnsi="Calibri" w:cs="Calibri"/>
                <w:color w:val="111111"/>
                <w:sz w:val="18"/>
                <w:szCs w:val="18"/>
              </w:rPr>
              <w:t>Completed by (SE):</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982E50" w14:textId="77777777" w:rsidR="002117B2" w:rsidRDefault="00616284">
            <w:pPr>
              <w:spacing w:after="0"/>
              <w:ind w:left="2" w:right="2"/>
            </w:pPr>
            <w:r>
              <w:rPr>
                <w:rFonts w:ascii="Calibri" w:eastAsia="Calibri" w:hAnsi="Calibri" w:cs="Calibri"/>
                <w:color w:val="111111"/>
                <w:sz w:val="18"/>
                <w:szCs w:val="18"/>
              </w:rPr>
              <w:t>Mette Hjorth Mikkelsen</w:t>
            </w:r>
          </w:p>
        </w:tc>
        <w:tc>
          <w:tcPr>
            <w:tcW w:w="232" w:type="dxa"/>
            <w:tcBorders>
              <w:right w:val="single" w:sz="8" w:space="0" w:color="000000"/>
            </w:tcBorders>
            <w:shd w:val="clear" w:color="auto" w:fill="BDD7EE"/>
            <w:tcMar>
              <w:top w:w="0" w:type="dxa"/>
              <w:left w:w="0" w:type="dxa"/>
              <w:bottom w:w="0" w:type="dxa"/>
              <w:right w:w="0" w:type="dxa"/>
            </w:tcMar>
            <w:vAlign w:val="center"/>
          </w:tcPr>
          <w:p w14:paraId="4835B1FE" w14:textId="77777777" w:rsidR="002117B2" w:rsidRDefault="002117B2">
            <w:pPr>
              <w:spacing w:after="0"/>
              <w:ind w:left="2" w:right="2"/>
            </w:pPr>
          </w:p>
        </w:tc>
      </w:tr>
      <w:tr w:rsidR="002117B2" w14:paraId="7FBEF6F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E6C38DD"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8CE5C43" w14:textId="77777777" w:rsidR="002117B2" w:rsidRDefault="00616284">
            <w:pPr>
              <w:spacing w:after="0"/>
              <w:ind w:left="2" w:right="2"/>
            </w:pPr>
            <w:r>
              <w:rPr>
                <w:rFonts w:ascii="Calibri" w:eastAsia="Calibri" w:hAnsi="Calibri" w:cs="Calibri"/>
                <w:color w:val="111111"/>
                <w:sz w:val="18"/>
                <w:szCs w:val="18"/>
              </w:rPr>
              <w:t>Reviewed by (LR):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B6586C" w14:textId="77777777" w:rsidR="002117B2" w:rsidRDefault="00616284">
            <w:pPr>
              <w:spacing w:after="0"/>
              <w:ind w:left="2" w:right="2"/>
            </w:pPr>
            <w:r>
              <w:rPr>
                <w:rFonts w:ascii="Calibri" w:eastAsia="Calibri" w:hAnsi="Calibri" w:cs="Calibri"/>
                <w:color w:val="111111"/>
                <w:sz w:val="18"/>
                <w:szCs w:val="18"/>
              </w:rPr>
              <w:t>Justin Goodwin</w:t>
            </w:r>
          </w:p>
        </w:tc>
        <w:tc>
          <w:tcPr>
            <w:tcW w:w="232" w:type="dxa"/>
            <w:tcBorders>
              <w:right w:val="single" w:sz="8" w:space="0" w:color="000000"/>
            </w:tcBorders>
            <w:shd w:val="clear" w:color="auto" w:fill="BDD7EE"/>
            <w:tcMar>
              <w:top w:w="0" w:type="dxa"/>
              <w:left w:w="0" w:type="dxa"/>
              <w:bottom w:w="0" w:type="dxa"/>
              <w:right w:w="0" w:type="dxa"/>
            </w:tcMar>
            <w:vAlign w:val="center"/>
          </w:tcPr>
          <w:p w14:paraId="016AF829" w14:textId="77777777" w:rsidR="002117B2" w:rsidRDefault="002117B2">
            <w:pPr>
              <w:spacing w:after="0"/>
              <w:ind w:left="2" w:right="2"/>
            </w:pPr>
          </w:p>
        </w:tc>
      </w:tr>
      <w:tr w:rsidR="002117B2" w14:paraId="38477FF3"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C1532CD"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44ADC62" w14:textId="77777777" w:rsidR="002117B2" w:rsidRDefault="00616284">
            <w:pPr>
              <w:spacing w:after="0"/>
              <w:ind w:left="2" w:right="2"/>
            </w:pPr>
            <w:r>
              <w:rPr>
                <w:rFonts w:ascii="Calibri" w:eastAsia="Calibri" w:hAnsi="Calibri" w:cs="Calibri"/>
                <w:color w:val="111111"/>
                <w:sz w:val="18"/>
                <w:szCs w:val="18"/>
              </w:rPr>
              <w:t>Reviewed by (Counterpart):</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F56362" w14:textId="77777777" w:rsidR="002117B2" w:rsidRDefault="00616284">
            <w:pPr>
              <w:spacing w:after="0"/>
              <w:ind w:left="2" w:right="2"/>
            </w:pPr>
            <w:r>
              <w:rPr>
                <w:rFonts w:ascii="Calibri" w:eastAsia="Calibri" w:hAnsi="Calibri" w:cs="Calibri"/>
                <w:color w:val="111111"/>
                <w:sz w:val="18"/>
                <w:szCs w:val="18"/>
              </w:rPr>
              <w:t>Anais Durand</w:t>
            </w:r>
          </w:p>
        </w:tc>
        <w:tc>
          <w:tcPr>
            <w:tcW w:w="232" w:type="dxa"/>
            <w:tcBorders>
              <w:right w:val="single" w:sz="8" w:space="0" w:color="000000"/>
            </w:tcBorders>
            <w:shd w:val="clear" w:color="auto" w:fill="BDD7EE"/>
            <w:tcMar>
              <w:top w:w="0" w:type="dxa"/>
              <w:left w:w="0" w:type="dxa"/>
              <w:bottom w:w="0" w:type="dxa"/>
              <w:right w:w="0" w:type="dxa"/>
            </w:tcMar>
            <w:vAlign w:val="center"/>
          </w:tcPr>
          <w:p w14:paraId="7EF280E3" w14:textId="77777777" w:rsidR="002117B2" w:rsidRDefault="002117B2">
            <w:pPr>
              <w:spacing w:after="0"/>
              <w:ind w:left="2" w:right="2"/>
            </w:pPr>
          </w:p>
        </w:tc>
      </w:tr>
      <w:tr w:rsidR="002117B2" w14:paraId="430EFB3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A044DF1"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22EE707" w14:textId="77777777" w:rsidR="002117B2" w:rsidRDefault="00616284">
            <w:pPr>
              <w:spacing w:after="0"/>
              <w:ind w:left="2" w:right="2"/>
            </w:pPr>
            <w:r>
              <w:rPr>
                <w:rFonts w:ascii="Calibri" w:eastAsia="Calibri" w:hAnsi="Calibri" w:cs="Calibri"/>
                <w:color w:val="111111"/>
                <w:sz w:val="18"/>
                <w:szCs w:val="18"/>
              </w:rPr>
              <w:t>Reviewed by (Quality Controller):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61AE2A" w14:textId="77777777" w:rsidR="002117B2" w:rsidRDefault="00616284">
            <w:pPr>
              <w:spacing w:after="0"/>
              <w:ind w:left="2" w:right="2"/>
            </w:pPr>
            <w:r>
              <w:rPr>
                <w:rFonts w:ascii="Calibri" w:eastAsia="Calibri" w:hAnsi="Calibri" w:cs="Calibri"/>
                <w:color w:val="111111"/>
                <w:sz w:val="18"/>
                <w:szCs w:val="18"/>
              </w:rPr>
              <w:t>Chris Dore</w:t>
            </w:r>
          </w:p>
        </w:tc>
        <w:tc>
          <w:tcPr>
            <w:tcW w:w="232" w:type="dxa"/>
            <w:tcBorders>
              <w:right w:val="single" w:sz="8" w:space="0" w:color="000000"/>
            </w:tcBorders>
            <w:shd w:val="clear" w:color="auto" w:fill="BDD7EE"/>
            <w:tcMar>
              <w:top w:w="0" w:type="dxa"/>
              <w:left w:w="0" w:type="dxa"/>
              <w:bottom w:w="0" w:type="dxa"/>
              <w:right w:w="0" w:type="dxa"/>
            </w:tcMar>
            <w:vAlign w:val="center"/>
          </w:tcPr>
          <w:p w14:paraId="2A636B0F" w14:textId="77777777" w:rsidR="002117B2" w:rsidRDefault="002117B2">
            <w:pPr>
              <w:spacing w:after="0"/>
              <w:ind w:left="2" w:right="2"/>
            </w:pPr>
          </w:p>
        </w:tc>
      </w:tr>
      <w:tr w:rsidR="002117B2" w14:paraId="6F04743D"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0C81B83"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07D442B7"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75101CF3"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06339882"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046E5B04"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18A66D3D"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43B98D42" w14:textId="77777777" w:rsidR="002117B2" w:rsidRPr="00E50FE7" w:rsidRDefault="002117B2">
            <w:pPr>
              <w:spacing w:after="0"/>
              <w:ind w:left="2" w:right="2"/>
              <w:rPr>
                <w:sz w:val="20"/>
                <w:szCs w:val="20"/>
              </w:rPr>
            </w:pPr>
          </w:p>
        </w:tc>
        <w:tc>
          <w:tcPr>
            <w:tcW w:w="1872" w:type="dxa"/>
            <w:shd w:val="clear" w:color="auto" w:fill="BDD7EE"/>
            <w:tcMar>
              <w:top w:w="0" w:type="dxa"/>
              <w:left w:w="0" w:type="dxa"/>
              <w:bottom w:w="0" w:type="dxa"/>
              <w:right w:w="0" w:type="dxa"/>
            </w:tcMar>
            <w:vAlign w:val="center"/>
          </w:tcPr>
          <w:p w14:paraId="406CFD7C" w14:textId="77777777" w:rsidR="002117B2" w:rsidRPr="00E50FE7" w:rsidRDefault="002117B2">
            <w:pPr>
              <w:spacing w:after="0"/>
              <w:ind w:left="2" w:right="2"/>
              <w:rPr>
                <w:sz w:val="20"/>
                <w:szCs w:val="20"/>
              </w:rPr>
            </w:pPr>
          </w:p>
        </w:tc>
        <w:tc>
          <w:tcPr>
            <w:tcW w:w="232" w:type="dxa"/>
            <w:tcBorders>
              <w:right w:val="single" w:sz="8" w:space="0" w:color="000000"/>
            </w:tcBorders>
            <w:shd w:val="clear" w:color="auto" w:fill="BDD7EE"/>
            <w:tcMar>
              <w:top w:w="0" w:type="dxa"/>
              <w:left w:w="0" w:type="dxa"/>
              <w:bottom w:w="0" w:type="dxa"/>
              <w:right w:w="0" w:type="dxa"/>
            </w:tcMar>
            <w:vAlign w:val="center"/>
          </w:tcPr>
          <w:p w14:paraId="30455617" w14:textId="77777777" w:rsidR="002117B2" w:rsidRPr="00E50FE7" w:rsidRDefault="002117B2">
            <w:pPr>
              <w:spacing w:after="0"/>
              <w:ind w:left="2" w:right="2"/>
              <w:rPr>
                <w:sz w:val="20"/>
                <w:szCs w:val="20"/>
              </w:rPr>
            </w:pPr>
          </w:p>
        </w:tc>
      </w:tr>
      <w:tr w:rsidR="002117B2" w14:paraId="404A59E9"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8EC37BB"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922C63E" w14:textId="77777777" w:rsidR="002117B2" w:rsidRDefault="00616284">
            <w:pPr>
              <w:spacing w:after="0"/>
              <w:ind w:left="2" w:right="2"/>
            </w:pPr>
            <w:r>
              <w:rPr>
                <w:rFonts w:ascii="Calibri" w:eastAsia="Calibri" w:hAnsi="Calibri" w:cs="Calibri"/>
                <w:color w:val="111111"/>
                <w:sz w:val="18"/>
                <w:szCs w:val="18"/>
              </w:rPr>
              <w:t>The underlying problem:</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1C130A" w14:textId="2FC99F48" w:rsidR="002117B2" w:rsidRDefault="00616284">
            <w:pPr>
              <w:spacing w:after="0"/>
              <w:ind w:left="2" w:right="2"/>
            </w:pPr>
            <w:r>
              <w:rPr>
                <w:rFonts w:ascii="Calibri" w:eastAsia="Calibri" w:hAnsi="Calibri" w:cs="Calibri"/>
                <w:color w:val="111111"/>
                <w:sz w:val="18"/>
                <w:szCs w:val="18"/>
              </w:rPr>
              <w:t>Lithuania informed that the emission is based on a Tier</w:t>
            </w:r>
            <w:r w:rsidR="00A16D06">
              <w:rPr>
                <w:rFonts w:ascii="Calibri" w:eastAsia="Calibri" w:hAnsi="Calibri" w:cs="Calibri"/>
                <w:color w:val="111111"/>
                <w:sz w:val="18"/>
                <w:szCs w:val="18"/>
              </w:rPr>
              <w:t xml:space="preserve"> </w:t>
            </w:r>
            <w:r>
              <w:rPr>
                <w:rFonts w:ascii="Calibri" w:eastAsia="Calibri" w:hAnsi="Calibri" w:cs="Calibri"/>
                <w:color w:val="111111"/>
                <w:sz w:val="18"/>
                <w:szCs w:val="18"/>
              </w:rPr>
              <w:t>2 calculation, but no information on key parameters (N-exc, MMS and housing days) is given in the IIR and it was not possible during the review to document the calculation reported in submission 2020.</w:t>
            </w:r>
          </w:p>
        </w:tc>
        <w:tc>
          <w:tcPr>
            <w:tcW w:w="232" w:type="dxa"/>
            <w:tcBorders>
              <w:right w:val="single" w:sz="8" w:space="0" w:color="000000"/>
            </w:tcBorders>
            <w:shd w:val="clear" w:color="auto" w:fill="BDD7EE"/>
            <w:tcMar>
              <w:top w:w="0" w:type="dxa"/>
              <w:left w:w="0" w:type="dxa"/>
              <w:bottom w:w="0" w:type="dxa"/>
              <w:right w:w="0" w:type="dxa"/>
            </w:tcMar>
            <w:vAlign w:val="center"/>
          </w:tcPr>
          <w:p w14:paraId="7E132A4A" w14:textId="77777777" w:rsidR="002117B2" w:rsidRDefault="002117B2">
            <w:pPr>
              <w:spacing w:after="0"/>
              <w:ind w:left="2" w:right="2"/>
            </w:pPr>
          </w:p>
        </w:tc>
      </w:tr>
      <w:tr w:rsidR="002117B2" w14:paraId="24C3F8DD"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F681163"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67009AF" w14:textId="77777777" w:rsidR="002117B2" w:rsidRDefault="00616284">
            <w:pPr>
              <w:spacing w:after="0"/>
              <w:ind w:left="2" w:right="2"/>
            </w:pPr>
            <w:r>
              <w:rPr>
                <w:rFonts w:ascii="Calibri" w:eastAsia="Calibri" w:hAnsi="Calibri" w:cs="Calibri"/>
                <w:color w:val="111111"/>
                <w:sz w:val="18"/>
                <w:szCs w:val="18"/>
              </w:rPr>
              <w:t>Summarise the methodology used:</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306F32" w14:textId="77777777" w:rsidR="002117B2" w:rsidRDefault="00616284">
            <w:pPr>
              <w:spacing w:after="0"/>
              <w:ind w:left="2" w:right="2"/>
            </w:pPr>
            <w:r>
              <w:rPr>
                <w:rFonts w:ascii="Calibri" w:eastAsia="Calibri" w:hAnsi="Calibri" w:cs="Calibri"/>
                <w:color w:val="111111"/>
                <w:sz w:val="18"/>
                <w:szCs w:val="18"/>
              </w:rPr>
              <w:t>The TERT calculation is based on the N-flow tool provided in relation to EEA/EMEP GB 2019 and national data from CRF Tables is used.</w:t>
            </w:r>
          </w:p>
        </w:tc>
        <w:tc>
          <w:tcPr>
            <w:tcW w:w="232" w:type="dxa"/>
            <w:tcBorders>
              <w:right w:val="single" w:sz="8" w:space="0" w:color="000000"/>
            </w:tcBorders>
            <w:shd w:val="clear" w:color="auto" w:fill="BDD7EE"/>
            <w:tcMar>
              <w:top w:w="0" w:type="dxa"/>
              <w:left w:w="0" w:type="dxa"/>
              <w:bottom w:w="0" w:type="dxa"/>
              <w:right w:w="0" w:type="dxa"/>
            </w:tcMar>
            <w:vAlign w:val="center"/>
          </w:tcPr>
          <w:p w14:paraId="142684DE" w14:textId="77777777" w:rsidR="002117B2" w:rsidRDefault="002117B2">
            <w:pPr>
              <w:spacing w:after="0"/>
              <w:ind w:left="2" w:right="2"/>
            </w:pPr>
          </w:p>
        </w:tc>
      </w:tr>
      <w:tr w:rsidR="002117B2" w14:paraId="578E098F"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D2F0351"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5F9EE369" w14:textId="77777777" w:rsidR="002117B2" w:rsidRPr="00E50FE7"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6D871AB1" w14:textId="77777777" w:rsidR="002117B2" w:rsidRPr="00E50FE7"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7317F98D" w14:textId="77777777" w:rsidR="002117B2" w:rsidRPr="00E50FE7"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79CD7CCC" w14:textId="77777777" w:rsidR="002117B2" w:rsidRPr="00E50FE7"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5B399193" w14:textId="77777777" w:rsidR="002117B2" w:rsidRPr="00E50FE7"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4A928ACB" w14:textId="77777777" w:rsidR="002117B2" w:rsidRPr="00E50FE7" w:rsidRDefault="002117B2">
            <w:pPr>
              <w:spacing w:after="0"/>
              <w:ind w:left="2" w:right="2"/>
              <w:rPr>
                <w:sz w:val="20"/>
                <w:szCs w:val="20"/>
              </w:rPr>
            </w:pPr>
          </w:p>
        </w:tc>
        <w:tc>
          <w:tcPr>
            <w:tcW w:w="1872" w:type="dxa"/>
            <w:tcBorders>
              <w:bottom w:val="single" w:sz="8" w:space="0" w:color="000000"/>
            </w:tcBorders>
            <w:shd w:val="clear" w:color="auto" w:fill="BDD7EE"/>
            <w:tcMar>
              <w:top w:w="0" w:type="dxa"/>
              <w:left w:w="0" w:type="dxa"/>
              <w:bottom w:w="0" w:type="dxa"/>
              <w:right w:w="0" w:type="dxa"/>
            </w:tcMar>
            <w:vAlign w:val="center"/>
          </w:tcPr>
          <w:p w14:paraId="72E37824" w14:textId="77777777" w:rsidR="002117B2" w:rsidRPr="00E50FE7" w:rsidRDefault="002117B2">
            <w:pPr>
              <w:spacing w:after="0"/>
              <w:ind w:left="2" w:right="2"/>
              <w:rPr>
                <w:sz w:val="20"/>
                <w:szCs w:val="20"/>
              </w:rPr>
            </w:pPr>
          </w:p>
        </w:tc>
        <w:tc>
          <w:tcPr>
            <w:tcW w:w="232"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1B84FA96" w14:textId="77777777" w:rsidR="002117B2" w:rsidRPr="00E50FE7" w:rsidRDefault="002117B2">
            <w:pPr>
              <w:spacing w:after="0"/>
              <w:ind w:left="2" w:right="2"/>
              <w:rPr>
                <w:sz w:val="20"/>
                <w:szCs w:val="20"/>
              </w:rPr>
            </w:pPr>
          </w:p>
        </w:tc>
      </w:tr>
      <w:tr w:rsidR="002117B2" w14:paraId="3B7D1579" w14:textId="77777777" w:rsidTr="00E50FE7">
        <w:trPr>
          <w:cantSplit/>
          <w:jc w:val="center"/>
        </w:trPr>
        <w:tc>
          <w:tcPr>
            <w:tcW w:w="217"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F118E35" w14:textId="77777777" w:rsidR="002117B2" w:rsidRDefault="00616284">
            <w:pPr>
              <w:spacing w:after="0"/>
              <w:ind w:left="2" w:right="2"/>
              <w:jc w:val="center"/>
            </w:pPr>
            <w:r>
              <w:rPr>
                <w:rFonts w:ascii="Calibri" w:eastAsia="Calibri" w:hAnsi="Calibri" w:cs="Calibri"/>
                <w:b/>
                <w:color w:val="FFFFFF"/>
                <w:sz w:val="18"/>
                <w:szCs w:val="18"/>
              </w:rPr>
              <w:t>2</w:t>
            </w:r>
          </w:p>
        </w:tc>
        <w:tc>
          <w:tcPr>
            <w:tcW w:w="9159" w:type="dxa"/>
            <w:gridSpan w:val="8"/>
            <w:tcBorders>
              <w:top w:val="single" w:sz="8" w:space="0" w:color="000000"/>
            </w:tcBorders>
            <w:shd w:val="clear" w:color="auto" w:fill="BDD7EE"/>
            <w:tcMar>
              <w:top w:w="0" w:type="dxa"/>
              <w:left w:w="0" w:type="dxa"/>
              <w:bottom w:w="0" w:type="dxa"/>
              <w:right w:w="0" w:type="dxa"/>
            </w:tcMar>
            <w:vAlign w:val="center"/>
          </w:tcPr>
          <w:p w14:paraId="5F899099" w14:textId="77777777" w:rsidR="002117B2" w:rsidRDefault="00616284">
            <w:pPr>
              <w:spacing w:after="0"/>
              <w:ind w:left="2" w:right="2"/>
            </w:pPr>
            <w:r>
              <w:rPr>
                <w:rFonts w:ascii="Calibri" w:eastAsia="Calibri" w:hAnsi="Calibri" w:cs="Calibri"/>
                <w:b/>
                <w:color w:val="111111"/>
                <w:sz w:val="18"/>
                <w:szCs w:val="18"/>
              </w:rPr>
              <w:t>Details of the corrected estimate</w:t>
            </w:r>
          </w:p>
        </w:tc>
      </w:tr>
      <w:tr w:rsidR="002117B2" w14:paraId="59128DC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8AD9F45"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47C3EB83"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22EEB70" w14:textId="77777777" w:rsidR="002117B2" w:rsidRDefault="00616284">
            <w:pPr>
              <w:spacing w:after="0"/>
              <w:ind w:left="2" w:right="2"/>
              <w:jc w:val="center"/>
            </w:pPr>
            <w:r>
              <w:rPr>
                <w:rFonts w:ascii="Calibri" w:eastAsia="Calibri" w:hAnsi="Calibri" w:cs="Calibri"/>
                <w:b/>
                <w:color w:val="111111"/>
                <w:sz w:val="18"/>
                <w:szCs w:val="18"/>
              </w:rPr>
              <w:t>Original Estimate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D0B0247" w14:textId="77777777" w:rsidR="002117B2" w:rsidRDefault="00616284">
            <w:pPr>
              <w:spacing w:after="0"/>
              <w:ind w:left="2" w:right="2"/>
              <w:jc w:val="center"/>
            </w:pPr>
            <w:r>
              <w:rPr>
                <w:rFonts w:ascii="Calibri" w:eastAsia="Calibri" w:hAnsi="Calibri" w:cs="Calibri"/>
                <w:b/>
                <w:color w:val="111111"/>
                <w:sz w:val="18"/>
                <w:szCs w:val="18"/>
              </w:rPr>
              <w:t>Notes</w:t>
            </w:r>
          </w:p>
        </w:tc>
        <w:tc>
          <w:tcPr>
            <w:tcW w:w="232" w:type="dxa"/>
            <w:tcBorders>
              <w:right w:val="single" w:sz="8" w:space="0" w:color="000000"/>
            </w:tcBorders>
            <w:shd w:val="clear" w:color="auto" w:fill="BDD7EE"/>
            <w:tcMar>
              <w:top w:w="0" w:type="dxa"/>
              <w:left w:w="0" w:type="dxa"/>
              <w:bottom w:w="0" w:type="dxa"/>
              <w:right w:w="0" w:type="dxa"/>
            </w:tcMar>
            <w:vAlign w:val="center"/>
          </w:tcPr>
          <w:p w14:paraId="4A63286C" w14:textId="77777777" w:rsidR="002117B2" w:rsidRDefault="002117B2">
            <w:pPr>
              <w:spacing w:after="0"/>
              <w:ind w:left="2" w:right="2"/>
              <w:jc w:val="center"/>
            </w:pPr>
          </w:p>
        </w:tc>
      </w:tr>
      <w:tr w:rsidR="002117B2" w14:paraId="4F6F2B69"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7D5DD44"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296489B"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A6C200C" w14:textId="7CB05274"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1165FFA"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26CB7C9" w14:textId="25BBE552"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FD37C2D" w14:textId="6053C26D"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F4FA263" w14:textId="10BFE049"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D159A37" w14:textId="77777777" w:rsidR="002117B2" w:rsidRDefault="002117B2">
            <w:pPr>
              <w:spacing w:after="0"/>
              <w:ind w:left="2" w:right="2"/>
              <w:jc w:val="center"/>
            </w:pPr>
          </w:p>
        </w:tc>
        <w:tc>
          <w:tcPr>
            <w:tcW w:w="232" w:type="dxa"/>
            <w:tcBorders>
              <w:right w:val="single" w:sz="8" w:space="0" w:color="000000"/>
            </w:tcBorders>
            <w:shd w:val="clear" w:color="auto" w:fill="BDD7EE"/>
            <w:tcMar>
              <w:top w:w="0" w:type="dxa"/>
              <w:left w:w="0" w:type="dxa"/>
              <w:bottom w:w="0" w:type="dxa"/>
              <w:right w:w="0" w:type="dxa"/>
            </w:tcMar>
            <w:vAlign w:val="center"/>
          </w:tcPr>
          <w:p w14:paraId="30C9F956" w14:textId="77777777" w:rsidR="002117B2" w:rsidRDefault="002117B2">
            <w:pPr>
              <w:spacing w:after="0"/>
              <w:ind w:left="2" w:right="2"/>
              <w:jc w:val="center"/>
            </w:pPr>
          </w:p>
        </w:tc>
      </w:tr>
      <w:tr w:rsidR="002117B2" w14:paraId="1C6C92A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E14CC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C4C9018"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40BBF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77C50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CD7BC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122E8D" w14:textId="77777777" w:rsidR="002117B2" w:rsidRDefault="00616284">
            <w:pPr>
              <w:spacing w:after="0"/>
              <w:ind w:left="2" w:right="2"/>
            </w:pPr>
            <w:r>
              <w:rPr>
                <w:rFonts w:ascii="Calibri" w:eastAsia="Calibri" w:hAnsi="Calibri" w:cs="Calibri"/>
                <w:color w:val="111111"/>
                <w:sz w:val="18"/>
                <w:szCs w:val="18"/>
              </w:rPr>
              <w:t>1.704</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90A5F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3C17A0"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69632AC4" w14:textId="77777777" w:rsidR="002117B2" w:rsidRDefault="002117B2">
            <w:pPr>
              <w:spacing w:after="0"/>
              <w:ind w:left="2" w:right="2"/>
            </w:pPr>
          </w:p>
        </w:tc>
      </w:tr>
      <w:tr w:rsidR="002117B2" w14:paraId="20B87897"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C429DE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2B19311"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63EAB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2F30F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77259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E9D6DE" w14:textId="77777777" w:rsidR="002117B2" w:rsidRDefault="00616284">
            <w:pPr>
              <w:spacing w:after="0"/>
              <w:ind w:left="2" w:right="2"/>
            </w:pPr>
            <w:r>
              <w:rPr>
                <w:rFonts w:ascii="Calibri" w:eastAsia="Calibri" w:hAnsi="Calibri" w:cs="Calibri"/>
                <w:color w:val="111111"/>
                <w:sz w:val="18"/>
                <w:szCs w:val="18"/>
              </w:rPr>
              <w:t>1.900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E4C14A"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D80806"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64B8CDB5" w14:textId="77777777" w:rsidR="002117B2" w:rsidRDefault="002117B2">
            <w:pPr>
              <w:spacing w:after="0"/>
              <w:ind w:left="2" w:right="2"/>
            </w:pPr>
          </w:p>
        </w:tc>
      </w:tr>
      <w:tr w:rsidR="002117B2" w14:paraId="5C9E1268"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FF6F88B"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0A9D579"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6F48C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48524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8A943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65C598" w14:textId="77777777" w:rsidR="002117B2" w:rsidRDefault="00616284">
            <w:pPr>
              <w:spacing w:after="0"/>
              <w:ind w:left="2" w:right="2"/>
            </w:pPr>
            <w:r>
              <w:rPr>
                <w:rFonts w:ascii="Calibri" w:eastAsia="Calibri" w:hAnsi="Calibri" w:cs="Calibri"/>
                <w:color w:val="111111"/>
                <w:sz w:val="18"/>
                <w:szCs w:val="18"/>
              </w:rPr>
              <w:t>2.223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5A457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27B9A0"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1E090F56" w14:textId="77777777" w:rsidR="002117B2" w:rsidRDefault="002117B2">
            <w:pPr>
              <w:spacing w:after="0"/>
              <w:ind w:left="2" w:right="2"/>
            </w:pPr>
          </w:p>
        </w:tc>
      </w:tr>
      <w:tr w:rsidR="002117B2" w14:paraId="6D334404"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7351A84"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B4701AA"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1783B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24DCB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34657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268D22" w14:textId="77777777" w:rsidR="002117B2" w:rsidRDefault="00616284">
            <w:pPr>
              <w:spacing w:after="0"/>
              <w:ind w:left="2" w:right="2"/>
            </w:pPr>
            <w:r>
              <w:rPr>
                <w:rFonts w:ascii="Calibri" w:eastAsia="Calibri" w:hAnsi="Calibri" w:cs="Calibri"/>
                <w:color w:val="111111"/>
                <w:sz w:val="18"/>
                <w:szCs w:val="18"/>
              </w:rPr>
              <w:t>2.231</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011C95"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B241B1"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298EFAAB" w14:textId="77777777" w:rsidR="002117B2" w:rsidRDefault="002117B2">
            <w:pPr>
              <w:spacing w:after="0"/>
              <w:ind w:left="2" w:right="2"/>
            </w:pPr>
          </w:p>
        </w:tc>
      </w:tr>
      <w:tr w:rsidR="002117B2" w14:paraId="1097FA08"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2C53BB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391F69D"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AEB1E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EC1F6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7E3BA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C3C2E6" w14:textId="77777777" w:rsidR="002117B2" w:rsidRDefault="00616284">
            <w:pPr>
              <w:spacing w:after="0"/>
              <w:ind w:left="2" w:right="2"/>
            </w:pPr>
            <w:r>
              <w:rPr>
                <w:rFonts w:ascii="Calibri" w:eastAsia="Calibri" w:hAnsi="Calibri" w:cs="Calibri"/>
                <w:color w:val="111111"/>
                <w:sz w:val="18"/>
                <w:szCs w:val="18"/>
              </w:rPr>
              <w:t>2.180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18B8BC"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73F390"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1E53D17A" w14:textId="77777777" w:rsidR="002117B2" w:rsidRDefault="002117B2">
            <w:pPr>
              <w:spacing w:after="0"/>
              <w:ind w:left="2" w:right="2"/>
            </w:pPr>
          </w:p>
        </w:tc>
      </w:tr>
      <w:tr w:rsidR="002117B2" w14:paraId="222D61EC"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15FCE0A"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37013E6"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B8363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04F01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7C665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6F27B1" w14:textId="77777777" w:rsidR="002117B2" w:rsidRDefault="00616284">
            <w:pPr>
              <w:spacing w:after="0"/>
              <w:ind w:left="2" w:right="2"/>
            </w:pPr>
            <w:r>
              <w:rPr>
                <w:rFonts w:ascii="Calibri" w:eastAsia="Calibri" w:hAnsi="Calibri" w:cs="Calibri"/>
                <w:color w:val="111111"/>
                <w:sz w:val="18"/>
                <w:szCs w:val="18"/>
              </w:rPr>
              <w:t>2.151</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529675"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62C23A"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37C1D5A1" w14:textId="77777777" w:rsidR="002117B2" w:rsidRDefault="002117B2">
            <w:pPr>
              <w:spacing w:after="0"/>
              <w:ind w:left="2" w:right="2"/>
            </w:pPr>
          </w:p>
        </w:tc>
      </w:tr>
      <w:tr w:rsidR="002117B2" w14:paraId="22F94315"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2126BCF"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57BEAC34"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48E13616"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02E4B2C0"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1AAA318A"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0E3B410C"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123B1F89" w14:textId="77777777" w:rsidR="002117B2" w:rsidRPr="00E50FE7" w:rsidRDefault="002117B2">
            <w:pPr>
              <w:spacing w:after="0"/>
              <w:ind w:left="2" w:right="2"/>
              <w:rPr>
                <w:sz w:val="20"/>
                <w:szCs w:val="20"/>
              </w:rPr>
            </w:pPr>
          </w:p>
        </w:tc>
        <w:tc>
          <w:tcPr>
            <w:tcW w:w="1872" w:type="dxa"/>
            <w:shd w:val="clear" w:color="auto" w:fill="BDD7EE"/>
            <w:tcMar>
              <w:top w:w="0" w:type="dxa"/>
              <w:left w:w="0" w:type="dxa"/>
              <w:bottom w:w="0" w:type="dxa"/>
              <w:right w:w="0" w:type="dxa"/>
            </w:tcMar>
            <w:vAlign w:val="center"/>
          </w:tcPr>
          <w:p w14:paraId="01358AC3" w14:textId="77777777" w:rsidR="002117B2" w:rsidRPr="00E50FE7" w:rsidRDefault="002117B2">
            <w:pPr>
              <w:spacing w:after="0"/>
              <w:ind w:left="2" w:right="2"/>
              <w:rPr>
                <w:sz w:val="20"/>
                <w:szCs w:val="20"/>
              </w:rPr>
            </w:pPr>
          </w:p>
        </w:tc>
        <w:tc>
          <w:tcPr>
            <w:tcW w:w="232" w:type="dxa"/>
            <w:tcBorders>
              <w:right w:val="single" w:sz="8" w:space="0" w:color="000000"/>
            </w:tcBorders>
            <w:shd w:val="clear" w:color="auto" w:fill="BDD7EE"/>
            <w:tcMar>
              <w:top w:w="0" w:type="dxa"/>
              <w:left w:w="0" w:type="dxa"/>
              <w:bottom w:w="0" w:type="dxa"/>
              <w:right w:w="0" w:type="dxa"/>
            </w:tcMar>
            <w:vAlign w:val="center"/>
          </w:tcPr>
          <w:p w14:paraId="7E1912F5" w14:textId="77777777" w:rsidR="002117B2" w:rsidRPr="00E50FE7" w:rsidRDefault="002117B2">
            <w:pPr>
              <w:spacing w:after="0"/>
              <w:ind w:left="2" w:right="2"/>
              <w:rPr>
                <w:sz w:val="20"/>
                <w:szCs w:val="20"/>
              </w:rPr>
            </w:pPr>
          </w:p>
        </w:tc>
      </w:tr>
      <w:tr w:rsidR="002117B2" w14:paraId="4A3979E0"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F8F483B"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46D2E3D6"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37B71DE" w14:textId="77777777" w:rsidR="002117B2" w:rsidRDefault="00616284">
            <w:pPr>
              <w:spacing w:after="0"/>
              <w:ind w:left="2" w:right="2"/>
              <w:jc w:val="center"/>
            </w:pPr>
            <w:r>
              <w:rPr>
                <w:rFonts w:ascii="Calibri" w:eastAsia="Calibri" w:hAnsi="Calibri" w:cs="Calibri"/>
                <w:b/>
                <w:color w:val="111111"/>
                <w:sz w:val="18"/>
                <w:szCs w:val="18"/>
              </w:rPr>
              <w:t>Technical Correction calculated by the TERT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1CC256B" w14:textId="77777777" w:rsidR="002117B2" w:rsidRDefault="00616284">
            <w:pPr>
              <w:spacing w:after="0"/>
              <w:ind w:left="2" w:right="2"/>
              <w:jc w:val="center"/>
            </w:pPr>
            <w:r>
              <w:rPr>
                <w:rFonts w:ascii="Calibri" w:eastAsia="Calibri" w:hAnsi="Calibri" w:cs="Calibri"/>
                <w:b/>
                <w:color w:val="111111"/>
                <w:sz w:val="18"/>
                <w:szCs w:val="18"/>
              </w:rPr>
              <w:t>Notes</w:t>
            </w:r>
          </w:p>
        </w:tc>
        <w:tc>
          <w:tcPr>
            <w:tcW w:w="232" w:type="dxa"/>
            <w:tcBorders>
              <w:right w:val="single" w:sz="8" w:space="0" w:color="000000"/>
            </w:tcBorders>
            <w:shd w:val="clear" w:color="auto" w:fill="BDD7EE"/>
            <w:tcMar>
              <w:top w:w="0" w:type="dxa"/>
              <w:left w:w="0" w:type="dxa"/>
              <w:bottom w:w="0" w:type="dxa"/>
              <w:right w:w="0" w:type="dxa"/>
            </w:tcMar>
            <w:vAlign w:val="center"/>
          </w:tcPr>
          <w:p w14:paraId="1FC4568F" w14:textId="77777777" w:rsidR="002117B2" w:rsidRDefault="002117B2">
            <w:pPr>
              <w:spacing w:after="0"/>
              <w:ind w:left="2" w:right="2"/>
              <w:jc w:val="center"/>
            </w:pPr>
          </w:p>
        </w:tc>
      </w:tr>
      <w:tr w:rsidR="002117B2" w14:paraId="6545A0C9"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A055C9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ABEF5DC"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AEAD84E" w14:textId="37738BAF"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E790AF1"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4A59AE4" w14:textId="5EF439FB"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033E06A" w14:textId="031E97CA"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1351634" w14:textId="6788B6B3"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CA19E9B" w14:textId="77777777" w:rsidR="002117B2" w:rsidRDefault="002117B2">
            <w:pPr>
              <w:spacing w:after="0"/>
              <w:ind w:left="2" w:right="2"/>
              <w:jc w:val="center"/>
            </w:pPr>
          </w:p>
        </w:tc>
        <w:tc>
          <w:tcPr>
            <w:tcW w:w="232" w:type="dxa"/>
            <w:tcBorders>
              <w:right w:val="single" w:sz="8" w:space="0" w:color="000000"/>
            </w:tcBorders>
            <w:shd w:val="clear" w:color="auto" w:fill="BDD7EE"/>
            <w:tcMar>
              <w:top w:w="0" w:type="dxa"/>
              <w:left w:w="0" w:type="dxa"/>
              <w:bottom w:w="0" w:type="dxa"/>
              <w:right w:w="0" w:type="dxa"/>
            </w:tcMar>
            <w:vAlign w:val="center"/>
          </w:tcPr>
          <w:p w14:paraId="5F4E98B7" w14:textId="77777777" w:rsidR="002117B2" w:rsidRDefault="002117B2">
            <w:pPr>
              <w:spacing w:after="0"/>
              <w:ind w:left="2" w:right="2"/>
              <w:jc w:val="center"/>
            </w:pPr>
          </w:p>
        </w:tc>
      </w:tr>
      <w:tr w:rsidR="002117B2" w14:paraId="3AFEC29B"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B3625F9"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75B8AF7"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EEE07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266B6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F257F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25252D" w14:textId="77777777" w:rsidR="002117B2" w:rsidRDefault="00616284">
            <w:pPr>
              <w:spacing w:after="0"/>
              <w:ind w:left="2" w:right="2"/>
            </w:pPr>
            <w:r>
              <w:rPr>
                <w:rFonts w:ascii="Calibri" w:eastAsia="Calibri" w:hAnsi="Calibri" w:cs="Calibri"/>
                <w:color w:val="111111"/>
                <w:sz w:val="18"/>
                <w:szCs w:val="18"/>
              </w:rPr>
              <w:t>2.634</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0FFACD"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1560F0"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2334C88E" w14:textId="77777777" w:rsidR="002117B2" w:rsidRDefault="002117B2">
            <w:pPr>
              <w:spacing w:after="0"/>
              <w:ind w:left="2" w:right="2"/>
            </w:pPr>
          </w:p>
        </w:tc>
      </w:tr>
      <w:tr w:rsidR="002117B2" w14:paraId="4048BF0C"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A7C9809"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8E18867"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3AD04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550D3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E7925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E73F99" w14:textId="77777777" w:rsidR="002117B2" w:rsidRDefault="00616284">
            <w:pPr>
              <w:spacing w:after="0"/>
              <w:ind w:left="2" w:right="2"/>
            </w:pPr>
            <w:r>
              <w:rPr>
                <w:rFonts w:ascii="Calibri" w:eastAsia="Calibri" w:hAnsi="Calibri" w:cs="Calibri"/>
                <w:color w:val="111111"/>
                <w:sz w:val="18"/>
                <w:szCs w:val="18"/>
              </w:rPr>
              <w:t>2.958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7F9870"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07E1F2"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5273D1E9" w14:textId="77777777" w:rsidR="002117B2" w:rsidRDefault="002117B2">
            <w:pPr>
              <w:spacing w:after="0"/>
              <w:ind w:left="2" w:right="2"/>
            </w:pPr>
          </w:p>
        </w:tc>
      </w:tr>
      <w:tr w:rsidR="002117B2" w14:paraId="77DAB8CE"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1D5FC50"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93D5171"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6A47B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4E5EB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94A2D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38F951" w14:textId="77777777" w:rsidR="002117B2" w:rsidRDefault="00616284">
            <w:pPr>
              <w:spacing w:after="0"/>
              <w:ind w:left="2" w:right="2"/>
            </w:pPr>
            <w:r>
              <w:rPr>
                <w:rFonts w:ascii="Calibri" w:eastAsia="Calibri" w:hAnsi="Calibri" w:cs="Calibri"/>
                <w:color w:val="111111"/>
                <w:sz w:val="18"/>
                <w:szCs w:val="18"/>
              </w:rPr>
              <w:t>3.487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C143A9"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4D7CD1"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6EBA3045" w14:textId="77777777" w:rsidR="002117B2" w:rsidRDefault="002117B2">
            <w:pPr>
              <w:spacing w:after="0"/>
              <w:ind w:left="2" w:right="2"/>
            </w:pPr>
          </w:p>
        </w:tc>
      </w:tr>
      <w:tr w:rsidR="002117B2" w14:paraId="67789DF0"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CF0ACDA"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823DDF7"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07447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DA6D1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98A9F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BCED4C" w14:textId="77777777" w:rsidR="002117B2" w:rsidRDefault="00616284">
            <w:pPr>
              <w:spacing w:after="0"/>
              <w:ind w:left="2" w:right="2"/>
            </w:pPr>
            <w:r>
              <w:rPr>
                <w:rFonts w:ascii="Calibri" w:eastAsia="Calibri" w:hAnsi="Calibri" w:cs="Calibri"/>
                <w:color w:val="111111"/>
                <w:sz w:val="18"/>
                <w:szCs w:val="18"/>
              </w:rPr>
              <w:t>3.504</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E87FF5"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81C3E1"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66445B8A" w14:textId="77777777" w:rsidR="002117B2" w:rsidRDefault="002117B2">
            <w:pPr>
              <w:spacing w:after="0"/>
              <w:ind w:left="2" w:right="2"/>
            </w:pPr>
          </w:p>
        </w:tc>
      </w:tr>
      <w:tr w:rsidR="002117B2" w14:paraId="24E6E78A"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94FF41B"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B546336"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6ED95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93FC4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42E3D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2AE4ED" w14:textId="77777777" w:rsidR="002117B2" w:rsidRDefault="00616284">
            <w:pPr>
              <w:spacing w:after="0"/>
              <w:ind w:left="2" w:right="2"/>
            </w:pPr>
            <w:r>
              <w:rPr>
                <w:rFonts w:ascii="Calibri" w:eastAsia="Calibri" w:hAnsi="Calibri" w:cs="Calibri"/>
                <w:color w:val="111111"/>
                <w:sz w:val="18"/>
                <w:szCs w:val="18"/>
              </w:rPr>
              <w:t>3.455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9D38AE"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944A38"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7CF02C78" w14:textId="77777777" w:rsidR="002117B2" w:rsidRDefault="002117B2">
            <w:pPr>
              <w:spacing w:after="0"/>
              <w:ind w:left="2" w:right="2"/>
            </w:pPr>
          </w:p>
        </w:tc>
      </w:tr>
      <w:tr w:rsidR="002117B2" w14:paraId="2D2D2205"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94D5AF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7A8B584"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484A5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59C19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6424E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E89F76" w14:textId="77777777" w:rsidR="002117B2" w:rsidRDefault="00616284">
            <w:pPr>
              <w:spacing w:after="0"/>
              <w:ind w:left="2" w:right="2"/>
            </w:pPr>
            <w:r>
              <w:rPr>
                <w:rFonts w:ascii="Calibri" w:eastAsia="Calibri" w:hAnsi="Calibri" w:cs="Calibri"/>
                <w:color w:val="111111"/>
                <w:sz w:val="18"/>
                <w:szCs w:val="18"/>
              </w:rPr>
              <w:t>3.455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3A6124"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AD4B83"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0C36CB97" w14:textId="77777777" w:rsidR="002117B2" w:rsidRDefault="002117B2">
            <w:pPr>
              <w:spacing w:after="0"/>
              <w:ind w:left="2" w:right="2"/>
            </w:pPr>
          </w:p>
        </w:tc>
      </w:tr>
      <w:tr w:rsidR="002117B2" w14:paraId="718E5D1B"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77EDC34"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18D28E2F"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60A56C00"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452D2E6A"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715A805B"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37FB19D2" w14:textId="77777777" w:rsidR="002117B2" w:rsidRPr="00E50FE7"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371A6362" w14:textId="77777777" w:rsidR="002117B2" w:rsidRPr="00E50FE7" w:rsidRDefault="002117B2">
            <w:pPr>
              <w:spacing w:after="0"/>
              <w:ind w:left="2" w:right="2"/>
              <w:rPr>
                <w:sz w:val="20"/>
                <w:szCs w:val="20"/>
              </w:rPr>
            </w:pPr>
          </w:p>
        </w:tc>
        <w:tc>
          <w:tcPr>
            <w:tcW w:w="1872" w:type="dxa"/>
            <w:shd w:val="clear" w:color="auto" w:fill="BDD7EE"/>
            <w:tcMar>
              <w:top w:w="0" w:type="dxa"/>
              <w:left w:w="0" w:type="dxa"/>
              <w:bottom w:w="0" w:type="dxa"/>
              <w:right w:w="0" w:type="dxa"/>
            </w:tcMar>
            <w:vAlign w:val="center"/>
          </w:tcPr>
          <w:p w14:paraId="0A637521" w14:textId="77777777" w:rsidR="002117B2" w:rsidRPr="00E50FE7" w:rsidRDefault="002117B2">
            <w:pPr>
              <w:spacing w:after="0"/>
              <w:ind w:left="2" w:right="2"/>
              <w:rPr>
                <w:sz w:val="20"/>
                <w:szCs w:val="20"/>
              </w:rPr>
            </w:pPr>
          </w:p>
        </w:tc>
        <w:tc>
          <w:tcPr>
            <w:tcW w:w="232" w:type="dxa"/>
            <w:tcBorders>
              <w:right w:val="single" w:sz="8" w:space="0" w:color="000000"/>
            </w:tcBorders>
            <w:shd w:val="clear" w:color="auto" w:fill="BDD7EE"/>
            <w:tcMar>
              <w:top w:w="0" w:type="dxa"/>
              <w:left w:w="0" w:type="dxa"/>
              <w:bottom w:w="0" w:type="dxa"/>
              <w:right w:w="0" w:type="dxa"/>
            </w:tcMar>
            <w:vAlign w:val="center"/>
          </w:tcPr>
          <w:p w14:paraId="24913441" w14:textId="77777777" w:rsidR="002117B2" w:rsidRPr="00E50FE7" w:rsidRDefault="002117B2">
            <w:pPr>
              <w:spacing w:after="0"/>
              <w:ind w:left="2" w:right="2"/>
              <w:rPr>
                <w:sz w:val="20"/>
                <w:szCs w:val="20"/>
              </w:rPr>
            </w:pPr>
          </w:p>
        </w:tc>
      </w:tr>
      <w:tr w:rsidR="002117B2" w14:paraId="6C687F97"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D96B730"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19FE9950"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74C42B1" w14:textId="77777777" w:rsidR="002117B2" w:rsidRDefault="00616284">
            <w:pPr>
              <w:spacing w:after="0"/>
              <w:ind w:left="2" w:right="2"/>
              <w:jc w:val="center"/>
            </w:pPr>
            <w:r>
              <w:rPr>
                <w:rFonts w:ascii="Calibri" w:eastAsia="Calibri" w:hAnsi="Calibri" w:cs="Calibri"/>
                <w:b/>
                <w:color w:val="111111"/>
                <w:sz w:val="18"/>
                <w:szCs w:val="18"/>
              </w:rPr>
              <w:t>Difference between Original Estimate and Technical Correction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3A755B9" w14:textId="77777777" w:rsidR="002117B2" w:rsidRDefault="00616284">
            <w:pPr>
              <w:spacing w:after="0"/>
              <w:ind w:left="2" w:right="2"/>
              <w:jc w:val="center"/>
            </w:pPr>
            <w:r>
              <w:rPr>
                <w:rFonts w:ascii="Calibri" w:eastAsia="Calibri" w:hAnsi="Calibri" w:cs="Calibri"/>
                <w:b/>
                <w:color w:val="111111"/>
                <w:sz w:val="18"/>
                <w:szCs w:val="18"/>
              </w:rPr>
              <w:t>Notes</w:t>
            </w:r>
          </w:p>
        </w:tc>
        <w:tc>
          <w:tcPr>
            <w:tcW w:w="232" w:type="dxa"/>
            <w:tcBorders>
              <w:right w:val="single" w:sz="8" w:space="0" w:color="000000"/>
            </w:tcBorders>
            <w:shd w:val="clear" w:color="auto" w:fill="BDD7EE"/>
            <w:tcMar>
              <w:top w:w="0" w:type="dxa"/>
              <w:left w:w="0" w:type="dxa"/>
              <w:bottom w:w="0" w:type="dxa"/>
              <w:right w:w="0" w:type="dxa"/>
            </w:tcMar>
            <w:vAlign w:val="center"/>
          </w:tcPr>
          <w:p w14:paraId="65905061" w14:textId="77777777" w:rsidR="002117B2" w:rsidRDefault="002117B2">
            <w:pPr>
              <w:spacing w:after="0"/>
              <w:ind w:left="2" w:right="2"/>
              <w:jc w:val="center"/>
            </w:pPr>
          </w:p>
        </w:tc>
      </w:tr>
      <w:tr w:rsidR="002117B2" w14:paraId="0E821CCA"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FF3A256"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0A7BF65"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E664CCB" w14:textId="50276D4F"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59D1669"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6718DFD" w14:textId="6129E294"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D610691" w14:textId="0CC5E8D7"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E45B27A" w14:textId="604FE73F"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2DCEF4D" w14:textId="77777777" w:rsidR="002117B2" w:rsidRDefault="002117B2">
            <w:pPr>
              <w:spacing w:after="0"/>
              <w:ind w:left="2" w:right="2"/>
              <w:jc w:val="center"/>
            </w:pPr>
          </w:p>
        </w:tc>
        <w:tc>
          <w:tcPr>
            <w:tcW w:w="232" w:type="dxa"/>
            <w:tcBorders>
              <w:right w:val="single" w:sz="8" w:space="0" w:color="000000"/>
            </w:tcBorders>
            <w:shd w:val="clear" w:color="auto" w:fill="BDD7EE"/>
            <w:tcMar>
              <w:top w:w="0" w:type="dxa"/>
              <w:left w:w="0" w:type="dxa"/>
              <w:bottom w:w="0" w:type="dxa"/>
              <w:right w:w="0" w:type="dxa"/>
            </w:tcMar>
            <w:vAlign w:val="center"/>
          </w:tcPr>
          <w:p w14:paraId="00D535EB" w14:textId="77777777" w:rsidR="002117B2" w:rsidRDefault="002117B2">
            <w:pPr>
              <w:spacing w:after="0"/>
              <w:ind w:left="2" w:right="2"/>
              <w:jc w:val="center"/>
            </w:pPr>
          </w:p>
        </w:tc>
      </w:tr>
      <w:tr w:rsidR="002117B2" w14:paraId="194222E1"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0972F80"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30616BB"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A2E23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CDCEE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8777D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0CE488" w14:textId="77777777" w:rsidR="002117B2" w:rsidRDefault="00616284">
            <w:pPr>
              <w:spacing w:after="0"/>
              <w:ind w:left="2" w:right="2"/>
            </w:pPr>
            <w:r>
              <w:rPr>
                <w:rFonts w:ascii="Calibri" w:eastAsia="Calibri" w:hAnsi="Calibri" w:cs="Calibri"/>
                <w:color w:val="111111"/>
                <w:sz w:val="18"/>
                <w:szCs w:val="18"/>
              </w:rPr>
              <w:t>0.930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A82CCE"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CBB281"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7C8BC644" w14:textId="77777777" w:rsidR="002117B2" w:rsidRDefault="002117B2">
            <w:pPr>
              <w:spacing w:after="0"/>
              <w:ind w:left="2" w:right="2"/>
            </w:pPr>
          </w:p>
        </w:tc>
      </w:tr>
      <w:tr w:rsidR="002117B2" w14:paraId="4B799D65"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940D51A"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73C053C"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A1B0E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0B78A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20CBD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385517" w14:textId="77777777" w:rsidR="002117B2" w:rsidRDefault="00616284">
            <w:pPr>
              <w:spacing w:after="0"/>
              <w:ind w:left="2" w:right="2"/>
            </w:pPr>
            <w:r>
              <w:rPr>
                <w:rFonts w:ascii="Calibri" w:eastAsia="Calibri" w:hAnsi="Calibri" w:cs="Calibri"/>
                <w:color w:val="111111"/>
                <w:sz w:val="18"/>
                <w:szCs w:val="18"/>
              </w:rPr>
              <w:t>1.059</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251B5C"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97879D"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5C3A8127" w14:textId="77777777" w:rsidR="002117B2" w:rsidRDefault="002117B2">
            <w:pPr>
              <w:spacing w:after="0"/>
              <w:ind w:left="2" w:right="2"/>
            </w:pPr>
          </w:p>
        </w:tc>
      </w:tr>
      <w:tr w:rsidR="002117B2" w14:paraId="75631221"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397F89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827BA74"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28BD9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FD642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F8FFE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7DBD1A" w14:textId="77777777" w:rsidR="002117B2" w:rsidRDefault="00616284">
            <w:pPr>
              <w:spacing w:after="0"/>
              <w:ind w:left="2" w:right="2"/>
            </w:pPr>
            <w:r>
              <w:rPr>
                <w:rFonts w:ascii="Calibri" w:eastAsia="Calibri" w:hAnsi="Calibri" w:cs="Calibri"/>
                <w:color w:val="111111"/>
                <w:sz w:val="18"/>
                <w:szCs w:val="18"/>
              </w:rPr>
              <w:t>1.263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CC37CF"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85BDDE"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72D1CAEE" w14:textId="77777777" w:rsidR="002117B2" w:rsidRDefault="002117B2">
            <w:pPr>
              <w:spacing w:after="0"/>
              <w:ind w:left="2" w:right="2"/>
            </w:pPr>
          </w:p>
        </w:tc>
      </w:tr>
      <w:tr w:rsidR="002117B2" w14:paraId="29EAA641"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4BB7DFC"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7DD3271"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E509A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B0BF2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A354A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F357C5" w14:textId="77777777" w:rsidR="002117B2" w:rsidRDefault="00616284">
            <w:pPr>
              <w:spacing w:after="0"/>
              <w:ind w:left="2" w:right="2"/>
            </w:pPr>
            <w:r>
              <w:rPr>
                <w:rFonts w:ascii="Calibri" w:eastAsia="Calibri" w:hAnsi="Calibri" w:cs="Calibri"/>
                <w:color w:val="111111"/>
                <w:sz w:val="18"/>
                <w:szCs w:val="18"/>
              </w:rPr>
              <w:t>1.273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7AF6E2"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5E1F87"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36EC7FAB" w14:textId="77777777" w:rsidR="002117B2" w:rsidRDefault="002117B2">
            <w:pPr>
              <w:spacing w:after="0"/>
              <w:ind w:left="2" w:right="2"/>
            </w:pPr>
          </w:p>
        </w:tc>
      </w:tr>
      <w:tr w:rsidR="002117B2" w14:paraId="12308D7B"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9F8CB01"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890B277"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1B558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ADBF4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90553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222F4C" w14:textId="77777777" w:rsidR="002117B2" w:rsidRDefault="00616284">
            <w:pPr>
              <w:spacing w:after="0"/>
              <w:ind w:left="2" w:right="2"/>
            </w:pPr>
            <w:r>
              <w:rPr>
                <w:rFonts w:ascii="Calibri" w:eastAsia="Calibri" w:hAnsi="Calibri" w:cs="Calibri"/>
                <w:color w:val="111111"/>
                <w:sz w:val="18"/>
                <w:szCs w:val="18"/>
              </w:rPr>
              <w:t>1.275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7D23F1"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D8AA44"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1508EB1E" w14:textId="77777777" w:rsidR="002117B2" w:rsidRDefault="002117B2">
            <w:pPr>
              <w:spacing w:after="0"/>
              <w:ind w:left="2" w:right="2"/>
            </w:pPr>
          </w:p>
        </w:tc>
      </w:tr>
      <w:tr w:rsidR="002117B2" w14:paraId="20750DB5"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BB06845"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99D0EEF"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52C80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CFBEC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D5DDA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A482CA" w14:textId="77777777" w:rsidR="002117B2" w:rsidRDefault="00616284">
            <w:pPr>
              <w:spacing w:after="0"/>
              <w:ind w:left="2" w:right="2"/>
            </w:pPr>
            <w:r>
              <w:rPr>
                <w:rFonts w:ascii="Calibri" w:eastAsia="Calibri" w:hAnsi="Calibri" w:cs="Calibri"/>
                <w:color w:val="111111"/>
                <w:sz w:val="18"/>
                <w:szCs w:val="18"/>
              </w:rPr>
              <w:t>1.304</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3A71A6"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26C74B"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3FB867DB" w14:textId="77777777" w:rsidR="002117B2" w:rsidRDefault="002117B2">
            <w:pPr>
              <w:spacing w:after="0"/>
              <w:ind w:left="2" w:right="2"/>
            </w:pPr>
          </w:p>
        </w:tc>
      </w:tr>
      <w:tr w:rsidR="002117B2" w14:paraId="4437F7F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59BA7BA"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7F7E75A4" w14:textId="77777777" w:rsidR="002117B2" w:rsidRPr="00E50FE7"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31740413" w14:textId="77777777" w:rsidR="002117B2" w:rsidRPr="00E50FE7"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4ACD0B2B" w14:textId="77777777" w:rsidR="002117B2" w:rsidRPr="00E50FE7"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3732484A" w14:textId="77777777" w:rsidR="002117B2" w:rsidRPr="00E50FE7"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1F0C064B" w14:textId="77777777" w:rsidR="002117B2" w:rsidRPr="00E50FE7"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2B5A22B2" w14:textId="77777777" w:rsidR="002117B2" w:rsidRPr="00E50FE7" w:rsidRDefault="002117B2">
            <w:pPr>
              <w:spacing w:after="0"/>
              <w:ind w:left="2" w:right="2"/>
              <w:rPr>
                <w:sz w:val="20"/>
                <w:szCs w:val="20"/>
              </w:rPr>
            </w:pPr>
          </w:p>
        </w:tc>
        <w:tc>
          <w:tcPr>
            <w:tcW w:w="1872" w:type="dxa"/>
            <w:tcBorders>
              <w:bottom w:val="single" w:sz="8" w:space="0" w:color="000000"/>
            </w:tcBorders>
            <w:shd w:val="clear" w:color="auto" w:fill="BDD7EE"/>
            <w:tcMar>
              <w:top w:w="0" w:type="dxa"/>
              <w:left w:w="0" w:type="dxa"/>
              <w:bottom w:w="0" w:type="dxa"/>
              <w:right w:w="0" w:type="dxa"/>
            </w:tcMar>
            <w:vAlign w:val="center"/>
          </w:tcPr>
          <w:p w14:paraId="3BF1CA06" w14:textId="77777777" w:rsidR="002117B2" w:rsidRPr="00E50FE7" w:rsidRDefault="002117B2">
            <w:pPr>
              <w:spacing w:after="0"/>
              <w:ind w:left="2" w:right="2"/>
              <w:rPr>
                <w:sz w:val="20"/>
                <w:szCs w:val="20"/>
              </w:rPr>
            </w:pPr>
          </w:p>
        </w:tc>
        <w:tc>
          <w:tcPr>
            <w:tcW w:w="232"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45E02D55" w14:textId="77777777" w:rsidR="002117B2" w:rsidRPr="00E50FE7" w:rsidRDefault="002117B2">
            <w:pPr>
              <w:spacing w:after="0"/>
              <w:ind w:left="2" w:right="2"/>
              <w:rPr>
                <w:sz w:val="20"/>
                <w:szCs w:val="20"/>
              </w:rPr>
            </w:pPr>
          </w:p>
        </w:tc>
      </w:tr>
    </w:tbl>
    <w:p w14:paraId="3230694A" w14:textId="77777777" w:rsidR="002117B2" w:rsidRDefault="00616284">
      <w:r>
        <w:br w:type="page"/>
      </w:r>
    </w:p>
    <w:tbl>
      <w:tblPr>
        <w:tblW w:w="9629" w:type="dxa"/>
        <w:jc w:val="center"/>
        <w:tblLayout w:type="fixed"/>
        <w:tblLook w:val="0420" w:firstRow="1" w:lastRow="0" w:firstColumn="0" w:lastColumn="0" w:noHBand="0" w:noVBand="1"/>
      </w:tblPr>
      <w:tblGrid>
        <w:gridCol w:w="217"/>
        <w:gridCol w:w="1440"/>
        <w:gridCol w:w="1123"/>
        <w:gridCol w:w="1123"/>
        <w:gridCol w:w="1123"/>
        <w:gridCol w:w="1123"/>
        <w:gridCol w:w="1123"/>
        <w:gridCol w:w="2074"/>
        <w:gridCol w:w="283"/>
      </w:tblGrid>
      <w:tr w:rsidR="002117B2" w14:paraId="6398D1FF" w14:textId="77777777" w:rsidTr="00E50FE7">
        <w:trPr>
          <w:cantSplit/>
          <w:jc w:val="center"/>
        </w:trPr>
        <w:tc>
          <w:tcPr>
            <w:tcW w:w="217"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6441C52" w14:textId="77777777" w:rsidR="002117B2" w:rsidRDefault="00616284">
            <w:pPr>
              <w:spacing w:after="0"/>
              <w:ind w:left="2" w:right="2"/>
              <w:jc w:val="center"/>
            </w:pPr>
            <w:r>
              <w:rPr>
                <w:rFonts w:ascii="Calibri" w:eastAsia="Calibri" w:hAnsi="Calibri" w:cs="Calibri"/>
                <w:b/>
                <w:color w:val="FFFFFF"/>
                <w:sz w:val="18"/>
                <w:szCs w:val="18"/>
              </w:rPr>
              <w:t>1</w:t>
            </w:r>
          </w:p>
        </w:tc>
        <w:tc>
          <w:tcPr>
            <w:tcW w:w="1440" w:type="dxa"/>
            <w:tcBorders>
              <w:top w:val="single" w:sz="8" w:space="0" w:color="000000"/>
            </w:tcBorders>
            <w:shd w:val="clear" w:color="auto" w:fill="BDD7EE"/>
            <w:tcMar>
              <w:top w:w="0" w:type="dxa"/>
              <w:left w:w="0" w:type="dxa"/>
              <w:bottom w:w="0" w:type="dxa"/>
              <w:right w:w="0" w:type="dxa"/>
            </w:tcMar>
            <w:vAlign w:val="center"/>
          </w:tcPr>
          <w:p w14:paraId="7DFF207F" w14:textId="77777777" w:rsidR="002117B2" w:rsidRPr="00E50FE7" w:rsidRDefault="002117B2">
            <w:pPr>
              <w:spacing w:after="0"/>
              <w:ind w:left="2" w:right="2"/>
              <w:rPr>
                <w:sz w:val="10"/>
                <w:szCs w:val="10"/>
              </w:rPr>
            </w:pPr>
          </w:p>
        </w:tc>
        <w:tc>
          <w:tcPr>
            <w:tcW w:w="1123" w:type="dxa"/>
            <w:tcBorders>
              <w:top w:val="single" w:sz="8" w:space="0" w:color="000000"/>
            </w:tcBorders>
            <w:shd w:val="clear" w:color="auto" w:fill="BDD7EE"/>
            <w:tcMar>
              <w:top w:w="0" w:type="dxa"/>
              <w:left w:w="0" w:type="dxa"/>
              <w:bottom w:w="0" w:type="dxa"/>
              <w:right w:w="0" w:type="dxa"/>
            </w:tcMar>
            <w:vAlign w:val="center"/>
          </w:tcPr>
          <w:p w14:paraId="3F8E9682" w14:textId="77777777" w:rsidR="002117B2" w:rsidRPr="00E50FE7" w:rsidRDefault="002117B2">
            <w:pPr>
              <w:spacing w:after="0"/>
              <w:ind w:left="2" w:right="2"/>
              <w:rPr>
                <w:sz w:val="10"/>
                <w:szCs w:val="10"/>
              </w:rPr>
            </w:pPr>
          </w:p>
        </w:tc>
        <w:tc>
          <w:tcPr>
            <w:tcW w:w="1123" w:type="dxa"/>
            <w:tcBorders>
              <w:top w:val="single" w:sz="8" w:space="0" w:color="000000"/>
            </w:tcBorders>
            <w:shd w:val="clear" w:color="auto" w:fill="BDD7EE"/>
            <w:tcMar>
              <w:top w:w="0" w:type="dxa"/>
              <w:left w:w="0" w:type="dxa"/>
              <w:bottom w:w="0" w:type="dxa"/>
              <w:right w:w="0" w:type="dxa"/>
            </w:tcMar>
            <w:vAlign w:val="center"/>
          </w:tcPr>
          <w:p w14:paraId="5C30C221" w14:textId="77777777" w:rsidR="002117B2" w:rsidRPr="00E50FE7" w:rsidRDefault="002117B2">
            <w:pPr>
              <w:spacing w:after="0"/>
              <w:ind w:left="2" w:right="2"/>
              <w:rPr>
                <w:sz w:val="10"/>
                <w:szCs w:val="10"/>
              </w:rPr>
            </w:pPr>
          </w:p>
        </w:tc>
        <w:tc>
          <w:tcPr>
            <w:tcW w:w="1123" w:type="dxa"/>
            <w:tcBorders>
              <w:top w:val="single" w:sz="8" w:space="0" w:color="000000"/>
            </w:tcBorders>
            <w:shd w:val="clear" w:color="auto" w:fill="BDD7EE"/>
            <w:tcMar>
              <w:top w:w="0" w:type="dxa"/>
              <w:left w:w="0" w:type="dxa"/>
              <w:bottom w:w="0" w:type="dxa"/>
              <w:right w:w="0" w:type="dxa"/>
            </w:tcMar>
            <w:vAlign w:val="center"/>
          </w:tcPr>
          <w:p w14:paraId="55946213" w14:textId="77777777" w:rsidR="002117B2" w:rsidRPr="00E50FE7" w:rsidRDefault="002117B2">
            <w:pPr>
              <w:spacing w:after="0"/>
              <w:ind w:left="2" w:right="2"/>
              <w:rPr>
                <w:sz w:val="10"/>
                <w:szCs w:val="10"/>
              </w:rPr>
            </w:pPr>
          </w:p>
        </w:tc>
        <w:tc>
          <w:tcPr>
            <w:tcW w:w="1123" w:type="dxa"/>
            <w:tcBorders>
              <w:top w:val="single" w:sz="8" w:space="0" w:color="000000"/>
            </w:tcBorders>
            <w:shd w:val="clear" w:color="auto" w:fill="BDD7EE"/>
            <w:tcMar>
              <w:top w:w="0" w:type="dxa"/>
              <w:left w:w="0" w:type="dxa"/>
              <w:bottom w:w="0" w:type="dxa"/>
              <w:right w:w="0" w:type="dxa"/>
            </w:tcMar>
            <w:vAlign w:val="center"/>
          </w:tcPr>
          <w:p w14:paraId="388356EF" w14:textId="77777777" w:rsidR="002117B2" w:rsidRPr="00E50FE7" w:rsidRDefault="002117B2">
            <w:pPr>
              <w:spacing w:after="0"/>
              <w:ind w:left="2" w:right="2"/>
              <w:rPr>
                <w:sz w:val="10"/>
                <w:szCs w:val="10"/>
              </w:rPr>
            </w:pPr>
          </w:p>
        </w:tc>
        <w:tc>
          <w:tcPr>
            <w:tcW w:w="1123" w:type="dxa"/>
            <w:tcBorders>
              <w:top w:val="single" w:sz="8" w:space="0" w:color="000000"/>
            </w:tcBorders>
            <w:shd w:val="clear" w:color="auto" w:fill="BDD7EE"/>
            <w:tcMar>
              <w:top w:w="0" w:type="dxa"/>
              <w:left w:w="0" w:type="dxa"/>
              <w:bottom w:w="0" w:type="dxa"/>
              <w:right w:w="0" w:type="dxa"/>
            </w:tcMar>
            <w:vAlign w:val="center"/>
          </w:tcPr>
          <w:p w14:paraId="21AAD51C" w14:textId="77777777" w:rsidR="002117B2" w:rsidRPr="00E50FE7" w:rsidRDefault="002117B2">
            <w:pPr>
              <w:spacing w:after="0"/>
              <w:ind w:left="2" w:right="2"/>
              <w:rPr>
                <w:sz w:val="10"/>
                <w:szCs w:val="10"/>
              </w:rPr>
            </w:pPr>
          </w:p>
        </w:tc>
        <w:tc>
          <w:tcPr>
            <w:tcW w:w="2074" w:type="dxa"/>
            <w:tcBorders>
              <w:top w:val="single" w:sz="8" w:space="0" w:color="000000"/>
            </w:tcBorders>
            <w:shd w:val="clear" w:color="auto" w:fill="BDD7EE"/>
            <w:tcMar>
              <w:top w:w="0" w:type="dxa"/>
              <w:left w:w="0" w:type="dxa"/>
              <w:bottom w:w="0" w:type="dxa"/>
              <w:right w:w="0" w:type="dxa"/>
            </w:tcMar>
            <w:vAlign w:val="center"/>
          </w:tcPr>
          <w:p w14:paraId="31BE552F" w14:textId="77777777" w:rsidR="002117B2" w:rsidRPr="00E50FE7" w:rsidRDefault="002117B2">
            <w:pPr>
              <w:spacing w:after="0"/>
              <w:ind w:left="2" w:right="2"/>
              <w:rPr>
                <w:sz w:val="10"/>
                <w:szCs w:val="10"/>
              </w:rPr>
            </w:pPr>
          </w:p>
        </w:tc>
        <w:tc>
          <w:tcPr>
            <w:tcW w:w="283" w:type="dxa"/>
            <w:tcBorders>
              <w:top w:val="single" w:sz="8" w:space="0" w:color="000000"/>
              <w:right w:val="single" w:sz="8" w:space="0" w:color="000000"/>
            </w:tcBorders>
            <w:shd w:val="clear" w:color="auto" w:fill="BDD7EE"/>
            <w:tcMar>
              <w:top w:w="0" w:type="dxa"/>
              <w:left w:w="0" w:type="dxa"/>
              <w:bottom w:w="0" w:type="dxa"/>
              <w:right w:w="0" w:type="dxa"/>
            </w:tcMar>
            <w:vAlign w:val="center"/>
          </w:tcPr>
          <w:p w14:paraId="6DD6C6E3" w14:textId="77777777" w:rsidR="002117B2" w:rsidRPr="00E50FE7" w:rsidRDefault="002117B2">
            <w:pPr>
              <w:spacing w:after="0"/>
              <w:ind w:left="2" w:right="2"/>
              <w:rPr>
                <w:sz w:val="10"/>
                <w:szCs w:val="10"/>
              </w:rPr>
            </w:pPr>
          </w:p>
        </w:tc>
      </w:tr>
      <w:tr w:rsidR="002117B2" w14:paraId="5467E941"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8BD1440"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8BEDBAE" w14:textId="77777777" w:rsidR="002117B2" w:rsidRDefault="00616284">
            <w:pPr>
              <w:spacing w:after="0"/>
              <w:ind w:left="2" w:right="2"/>
            </w:pPr>
            <w:r>
              <w:rPr>
                <w:rFonts w:ascii="Calibri" w:eastAsia="Calibri" w:hAnsi="Calibri" w:cs="Calibri"/>
                <w:color w:val="111111"/>
                <w:sz w:val="18"/>
                <w:szCs w:val="18"/>
              </w:rPr>
              <w:t>EMRT ID:</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FE6294" w14:textId="77777777" w:rsidR="002117B2" w:rsidRDefault="00616284">
            <w:pPr>
              <w:spacing w:after="0"/>
              <w:ind w:left="2" w:right="2"/>
            </w:pPr>
            <w:r>
              <w:rPr>
                <w:rFonts w:ascii="Calibri" w:eastAsia="Calibri" w:hAnsi="Calibri" w:cs="Calibri"/>
                <w:color w:val="111111"/>
                <w:sz w:val="18"/>
                <w:szCs w:val="18"/>
              </w:rPr>
              <w:t>LT-5A-2019-0002</w:t>
            </w:r>
          </w:p>
        </w:tc>
        <w:tc>
          <w:tcPr>
            <w:tcW w:w="283" w:type="dxa"/>
            <w:tcBorders>
              <w:right w:val="single" w:sz="8" w:space="0" w:color="000000"/>
            </w:tcBorders>
            <w:shd w:val="clear" w:color="auto" w:fill="BDD7EE"/>
            <w:tcMar>
              <w:top w:w="0" w:type="dxa"/>
              <w:left w:w="0" w:type="dxa"/>
              <w:bottom w:w="0" w:type="dxa"/>
              <w:right w:w="0" w:type="dxa"/>
            </w:tcMar>
            <w:vAlign w:val="center"/>
          </w:tcPr>
          <w:p w14:paraId="66187C5D" w14:textId="77777777" w:rsidR="002117B2" w:rsidRDefault="002117B2">
            <w:pPr>
              <w:spacing w:after="0"/>
              <w:ind w:left="2" w:right="2"/>
            </w:pPr>
          </w:p>
        </w:tc>
      </w:tr>
      <w:tr w:rsidR="002117B2" w14:paraId="2DC6B39E"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16C4AEA"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282C6DB" w14:textId="77777777" w:rsidR="002117B2" w:rsidRDefault="00616284">
            <w:pPr>
              <w:spacing w:after="0"/>
              <w:ind w:left="2" w:right="2"/>
            </w:pPr>
            <w:r>
              <w:rPr>
                <w:rFonts w:ascii="Calibri" w:eastAsia="Calibri" w:hAnsi="Calibri" w:cs="Calibri"/>
                <w:color w:val="111111"/>
                <w:sz w:val="18"/>
                <w:szCs w:val="18"/>
              </w:rPr>
              <w:t>EMRT URL:</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137CDA" w14:textId="77777777" w:rsidR="002117B2" w:rsidRDefault="00616284">
            <w:pPr>
              <w:spacing w:after="0"/>
              <w:ind w:left="2" w:right="2"/>
            </w:pPr>
            <w:r>
              <w:rPr>
                <w:rFonts w:ascii="Calibri" w:eastAsia="Calibri" w:hAnsi="Calibri" w:cs="Calibri"/>
                <w:color w:val="111111"/>
                <w:sz w:val="18"/>
                <w:szCs w:val="18"/>
              </w:rPr>
              <w:t>https://emrt-necd.eionet.europa.eu/2020/LT-5A-2019-0002</w:t>
            </w:r>
          </w:p>
        </w:tc>
        <w:tc>
          <w:tcPr>
            <w:tcW w:w="283" w:type="dxa"/>
            <w:tcBorders>
              <w:right w:val="single" w:sz="8" w:space="0" w:color="000000"/>
            </w:tcBorders>
            <w:shd w:val="clear" w:color="auto" w:fill="BDD7EE"/>
            <w:tcMar>
              <w:top w:w="0" w:type="dxa"/>
              <w:left w:w="0" w:type="dxa"/>
              <w:bottom w:w="0" w:type="dxa"/>
              <w:right w:w="0" w:type="dxa"/>
            </w:tcMar>
            <w:vAlign w:val="center"/>
          </w:tcPr>
          <w:p w14:paraId="1CA98101" w14:textId="77777777" w:rsidR="002117B2" w:rsidRDefault="002117B2">
            <w:pPr>
              <w:spacing w:after="0"/>
              <w:ind w:left="2" w:right="2"/>
            </w:pPr>
          </w:p>
        </w:tc>
      </w:tr>
      <w:tr w:rsidR="002117B2" w14:paraId="608DE112"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AE58D57"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36C0D63" w14:textId="77777777" w:rsidR="002117B2" w:rsidRDefault="00616284">
            <w:pPr>
              <w:spacing w:after="0"/>
              <w:ind w:left="2" w:right="2"/>
            </w:pPr>
            <w:r>
              <w:rPr>
                <w:rFonts w:ascii="Calibri" w:eastAsia="Calibri" w:hAnsi="Calibri" w:cs="Calibri"/>
                <w:color w:val="111111"/>
                <w:sz w:val="18"/>
                <w:szCs w:val="18"/>
              </w:rPr>
              <w:t>Member State:</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4A4D15" w14:textId="77777777" w:rsidR="002117B2" w:rsidRDefault="00616284">
            <w:pPr>
              <w:spacing w:after="0"/>
              <w:ind w:left="2" w:right="2"/>
            </w:pPr>
            <w:r>
              <w:rPr>
                <w:rFonts w:ascii="Calibri" w:eastAsia="Calibri" w:hAnsi="Calibri" w:cs="Calibri"/>
                <w:color w:val="111111"/>
                <w:sz w:val="18"/>
                <w:szCs w:val="18"/>
              </w:rPr>
              <w:t>Lithuania</w:t>
            </w:r>
          </w:p>
        </w:tc>
        <w:tc>
          <w:tcPr>
            <w:tcW w:w="283" w:type="dxa"/>
            <w:tcBorders>
              <w:right w:val="single" w:sz="8" w:space="0" w:color="000000"/>
            </w:tcBorders>
            <w:shd w:val="clear" w:color="auto" w:fill="BDD7EE"/>
            <w:tcMar>
              <w:top w:w="0" w:type="dxa"/>
              <w:left w:w="0" w:type="dxa"/>
              <w:bottom w:w="0" w:type="dxa"/>
              <w:right w:w="0" w:type="dxa"/>
            </w:tcMar>
            <w:vAlign w:val="center"/>
          </w:tcPr>
          <w:p w14:paraId="447BE85C" w14:textId="77777777" w:rsidR="002117B2" w:rsidRDefault="002117B2">
            <w:pPr>
              <w:spacing w:after="0"/>
              <w:ind w:left="2" w:right="2"/>
            </w:pPr>
          </w:p>
        </w:tc>
      </w:tr>
      <w:tr w:rsidR="002117B2" w14:paraId="6DBA6AC1"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E004C9A"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C877A5A" w14:textId="77777777" w:rsidR="002117B2" w:rsidRDefault="00616284">
            <w:pPr>
              <w:spacing w:after="0"/>
              <w:ind w:left="2" w:right="2"/>
            </w:pPr>
            <w:r>
              <w:rPr>
                <w:rFonts w:ascii="Calibri" w:eastAsia="Calibri" w:hAnsi="Calibri" w:cs="Calibri"/>
                <w:color w:val="111111"/>
                <w:sz w:val="18"/>
                <w:szCs w:val="18"/>
              </w:rPr>
              <w:t>Sector:</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6D9055" w14:textId="6589D75B" w:rsidR="002117B2" w:rsidRDefault="00616284">
            <w:pPr>
              <w:spacing w:after="0"/>
              <w:ind w:left="2" w:right="2"/>
            </w:pPr>
            <w:r>
              <w:rPr>
                <w:rFonts w:ascii="Calibri" w:eastAsia="Calibri" w:hAnsi="Calibri" w:cs="Calibri"/>
                <w:color w:val="111111"/>
                <w:sz w:val="18"/>
                <w:szCs w:val="18"/>
              </w:rPr>
              <w:t xml:space="preserve">5A Biological </w:t>
            </w:r>
            <w:r w:rsidR="00CD02E8">
              <w:rPr>
                <w:rFonts w:ascii="Calibri" w:eastAsia="Calibri" w:hAnsi="Calibri" w:cs="Calibri"/>
                <w:color w:val="111111"/>
                <w:sz w:val="18"/>
                <w:szCs w:val="18"/>
              </w:rPr>
              <w:t xml:space="preserve">Treatment of Waste - </w:t>
            </w:r>
            <w:r>
              <w:rPr>
                <w:rFonts w:ascii="Calibri" w:eastAsia="Calibri" w:hAnsi="Calibri" w:cs="Calibri"/>
                <w:color w:val="111111"/>
                <w:sz w:val="18"/>
                <w:szCs w:val="18"/>
              </w:rPr>
              <w:t xml:space="preserve">Solid </w:t>
            </w:r>
            <w:r w:rsidR="00CD02E8">
              <w:rPr>
                <w:rFonts w:ascii="Calibri" w:eastAsia="Calibri" w:hAnsi="Calibri" w:cs="Calibri"/>
                <w:color w:val="111111"/>
                <w:sz w:val="18"/>
                <w:szCs w:val="18"/>
              </w:rPr>
              <w:t>Waste Disposal on Land</w:t>
            </w:r>
          </w:p>
        </w:tc>
        <w:tc>
          <w:tcPr>
            <w:tcW w:w="283" w:type="dxa"/>
            <w:tcBorders>
              <w:right w:val="single" w:sz="8" w:space="0" w:color="000000"/>
            </w:tcBorders>
            <w:shd w:val="clear" w:color="auto" w:fill="BDD7EE"/>
            <w:tcMar>
              <w:top w:w="0" w:type="dxa"/>
              <w:left w:w="0" w:type="dxa"/>
              <w:bottom w:w="0" w:type="dxa"/>
              <w:right w:w="0" w:type="dxa"/>
            </w:tcMar>
            <w:vAlign w:val="center"/>
          </w:tcPr>
          <w:p w14:paraId="5A46EB36" w14:textId="77777777" w:rsidR="002117B2" w:rsidRDefault="002117B2">
            <w:pPr>
              <w:spacing w:after="0"/>
              <w:ind w:left="2" w:right="2"/>
            </w:pPr>
          </w:p>
        </w:tc>
      </w:tr>
      <w:tr w:rsidR="002117B2" w14:paraId="71F669AF"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39E5CC9"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D5A4970" w14:textId="77777777" w:rsidR="002117B2" w:rsidRDefault="00616284">
            <w:pPr>
              <w:spacing w:after="0"/>
              <w:ind w:left="2" w:right="2"/>
            </w:pPr>
            <w:r>
              <w:rPr>
                <w:rFonts w:ascii="Calibri" w:eastAsia="Calibri" w:hAnsi="Calibri" w:cs="Calibri"/>
                <w:color w:val="111111"/>
                <w:sz w:val="18"/>
                <w:szCs w:val="18"/>
              </w:rPr>
              <w:t>Pollutants:</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C00CED" w14:textId="77777777" w:rsidR="002117B2" w:rsidRDefault="00616284">
            <w:pPr>
              <w:spacing w:after="0"/>
              <w:ind w:left="2" w:right="2"/>
            </w:pPr>
            <w:r>
              <w:rPr>
                <w:rFonts w:ascii="Calibri" w:eastAsia="Calibri" w:hAnsi="Calibri" w:cs="Calibri"/>
                <w:color w:val="111111"/>
                <w:sz w:val="18"/>
                <w:szCs w:val="18"/>
              </w:rPr>
              <w:t>NMVOC</w:t>
            </w:r>
          </w:p>
        </w:tc>
        <w:tc>
          <w:tcPr>
            <w:tcW w:w="283" w:type="dxa"/>
            <w:tcBorders>
              <w:right w:val="single" w:sz="8" w:space="0" w:color="000000"/>
            </w:tcBorders>
            <w:shd w:val="clear" w:color="auto" w:fill="BDD7EE"/>
            <w:tcMar>
              <w:top w:w="0" w:type="dxa"/>
              <w:left w:w="0" w:type="dxa"/>
              <w:bottom w:w="0" w:type="dxa"/>
              <w:right w:w="0" w:type="dxa"/>
            </w:tcMar>
            <w:vAlign w:val="center"/>
          </w:tcPr>
          <w:p w14:paraId="71BCC59F" w14:textId="77777777" w:rsidR="002117B2" w:rsidRDefault="002117B2">
            <w:pPr>
              <w:spacing w:after="0"/>
              <w:ind w:left="2" w:right="2"/>
            </w:pPr>
          </w:p>
        </w:tc>
      </w:tr>
      <w:tr w:rsidR="002117B2" w14:paraId="093747B9"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5414168"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376FCBD" w14:textId="77777777" w:rsidR="002117B2" w:rsidRDefault="00616284">
            <w:pPr>
              <w:spacing w:after="0"/>
              <w:ind w:left="2" w:right="2"/>
            </w:pPr>
            <w:r>
              <w:rPr>
                <w:rFonts w:ascii="Calibri" w:eastAsia="Calibri" w:hAnsi="Calibri" w:cs="Calibri"/>
                <w:color w:val="111111"/>
                <w:sz w:val="18"/>
                <w:szCs w:val="18"/>
              </w:rPr>
              <w:t>Completed by (SE):</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CA9CDB" w14:textId="77777777" w:rsidR="002117B2" w:rsidRDefault="00616284">
            <w:pPr>
              <w:spacing w:after="0"/>
              <w:ind w:left="2" w:right="2"/>
            </w:pPr>
            <w:r>
              <w:rPr>
                <w:rFonts w:ascii="Calibri" w:eastAsia="Calibri" w:hAnsi="Calibri" w:cs="Calibri"/>
                <w:color w:val="111111"/>
                <w:sz w:val="18"/>
                <w:szCs w:val="18"/>
              </w:rPr>
              <w:t>Celine Gueguen</w:t>
            </w:r>
          </w:p>
        </w:tc>
        <w:tc>
          <w:tcPr>
            <w:tcW w:w="283" w:type="dxa"/>
            <w:tcBorders>
              <w:right w:val="single" w:sz="8" w:space="0" w:color="000000"/>
            </w:tcBorders>
            <w:shd w:val="clear" w:color="auto" w:fill="BDD7EE"/>
            <w:tcMar>
              <w:top w:w="0" w:type="dxa"/>
              <w:left w:w="0" w:type="dxa"/>
              <w:bottom w:w="0" w:type="dxa"/>
              <w:right w:w="0" w:type="dxa"/>
            </w:tcMar>
            <w:vAlign w:val="center"/>
          </w:tcPr>
          <w:p w14:paraId="25F027E5" w14:textId="77777777" w:rsidR="002117B2" w:rsidRDefault="002117B2">
            <w:pPr>
              <w:spacing w:after="0"/>
              <w:ind w:left="2" w:right="2"/>
            </w:pPr>
          </w:p>
        </w:tc>
      </w:tr>
      <w:tr w:rsidR="002117B2" w14:paraId="05EB6F28"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8C73B48"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E3A0009" w14:textId="77777777" w:rsidR="002117B2" w:rsidRDefault="00616284">
            <w:pPr>
              <w:spacing w:after="0"/>
              <w:ind w:left="2" w:right="2"/>
            </w:pPr>
            <w:r>
              <w:rPr>
                <w:rFonts w:ascii="Calibri" w:eastAsia="Calibri" w:hAnsi="Calibri" w:cs="Calibri"/>
                <w:color w:val="111111"/>
                <w:sz w:val="18"/>
                <w:szCs w:val="18"/>
              </w:rPr>
              <w:t>Reviewed by (LR):</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205308" w14:textId="77777777" w:rsidR="002117B2" w:rsidRDefault="00616284">
            <w:pPr>
              <w:spacing w:after="0"/>
              <w:ind w:left="2" w:right="2"/>
            </w:pPr>
            <w:r>
              <w:rPr>
                <w:rFonts w:ascii="Calibri" w:eastAsia="Calibri" w:hAnsi="Calibri" w:cs="Calibri"/>
                <w:color w:val="111111"/>
                <w:sz w:val="18"/>
                <w:szCs w:val="18"/>
              </w:rPr>
              <w:t>Justin Goodwin</w:t>
            </w:r>
          </w:p>
        </w:tc>
        <w:tc>
          <w:tcPr>
            <w:tcW w:w="283" w:type="dxa"/>
            <w:tcBorders>
              <w:right w:val="single" w:sz="8" w:space="0" w:color="000000"/>
            </w:tcBorders>
            <w:shd w:val="clear" w:color="auto" w:fill="BDD7EE"/>
            <w:tcMar>
              <w:top w:w="0" w:type="dxa"/>
              <w:left w:w="0" w:type="dxa"/>
              <w:bottom w:w="0" w:type="dxa"/>
              <w:right w:w="0" w:type="dxa"/>
            </w:tcMar>
            <w:vAlign w:val="center"/>
          </w:tcPr>
          <w:p w14:paraId="7D1E13D3" w14:textId="77777777" w:rsidR="002117B2" w:rsidRDefault="002117B2">
            <w:pPr>
              <w:spacing w:after="0"/>
              <w:ind w:left="2" w:right="2"/>
            </w:pPr>
          </w:p>
        </w:tc>
      </w:tr>
      <w:tr w:rsidR="002117B2" w14:paraId="338763F9"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413FB6B"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DA0FFF3" w14:textId="77777777" w:rsidR="002117B2" w:rsidRDefault="00616284">
            <w:pPr>
              <w:spacing w:after="0"/>
              <w:ind w:left="2" w:right="2"/>
            </w:pPr>
            <w:r>
              <w:rPr>
                <w:rFonts w:ascii="Calibri" w:eastAsia="Calibri" w:hAnsi="Calibri" w:cs="Calibri"/>
                <w:color w:val="111111"/>
                <w:sz w:val="18"/>
                <w:szCs w:val="18"/>
              </w:rPr>
              <w:t>Reviewed by (Counterpart):</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880371" w14:textId="77777777" w:rsidR="002117B2" w:rsidRDefault="00616284">
            <w:pPr>
              <w:spacing w:after="0"/>
              <w:ind w:left="2" w:right="2"/>
            </w:pPr>
            <w:r>
              <w:rPr>
                <w:rFonts w:ascii="Calibri" w:eastAsia="Calibri" w:hAnsi="Calibri" w:cs="Calibri"/>
                <w:color w:val="111111"/>
                <w:sz w:val="18"/>
                <w:szCs w:val="18"/>
              </w:rPr>
              <w:t>Romain Bort</w:t>
            </w:r>
          </w:p>
        </w:tc>
        <w:tc>
          <w:tcPr>
            <w:tcW w:w="283" w:type="dxa"/>
            <w:tcBorders>
              <w:right w:val="single" w:sz="8" w:space="0" w:color="000000"/>
            </w:tcBorders>
            <w:shd w:val="clear" w:color="auto" w:fill="BDD7EE"/>
            <w:tcMar>
              <w:top w:w="0" w:type="dxa"/>
              <w:left w:w="0" w:type="dxa"/>
              <w:bottom w:w="0" w:type="dxa"/>
              <w:right w:w="0" w:type="dxa"/>
            </w:tcMar>
            <w:vAlign w:val="center"/>
          </w:tcPr>
          <w:p w14:paraId="10F8CAC3" w14:textId="77777777" w:rsidR="002117B2" w:rsidRDefault="002117B2">
            <w:pPr>
              <w:spacing w:after="0"/>
              <w:ind w:left="2" w:right="2"/>
            </w:pPr>
          </w:p>
        </w:tc>
      </w:tr>
      <w:tr w:rsidR="002117B2" w14:paraId="532F4DBC"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C1305B8"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0CF61E0" w14:textId="77777777" w:rsidR="002117B2" w:rsidRDefault="00616284">
            <w:pPr>
              <w:spacing w:after="0"/>
              <w:ind w:left="2" w:right="2"/>
            </w:pPr>
            <w:r>
              <w:rPr>
                <w:rFonts w:ascii="Calibri" w:eastAsia="Calibri" w:hAnsi="Calibri" w:cs="Calibri"/>
                <w:color w:val="111111"/>
                <w:sz w:val="18"/>
                <w:szCs w:val="18"/>
              </w:rPr>
              <w:t>Reviewed by (Quality Controller):</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EA95EF" w14:textId="77777777" w:rsidR="002117B2" w:rsidRDefault="00616284">
            <w:pPr>
              <w:spacing w:after="0"/>
              <w:ind w:left="2" w:right="2"/>
            </w:pPr>
            <w:r>
              <w:rPr>
                <w:rFonts w:ascii="Calibri" w:eastAsia="Calibri" w:hAnsi="Calibri" w:cs="Calibri"/>
                <w:color w:val="111111"/>
                <w:sz w:val="18"/>
                <w:szCs w:val="18"/>
              </w:rPr>
              <w:t>Chris Dore</w:t>
            </w:r>
          </w:p>
        </w:tc>
        <w:tc>
          <w:tcPr>
            <w:tcW w:w="283" w:type="dxa"/>
            <w:tcBorders>
              <w:right w:val="single" w:sz="8" w:space="0" w:color="000000"/>
            </w:tcBorders>
            <w:shd w:val="clear" w:color="auto" w:fill="BDD7EE"/>
            <w:tcMar>
              <w:top w:w="0" w:type="dxa"/>
              <w:left w:w="0" w:type="dxa"/>
              <w:bottom w:w="0" w:type="dxa"/>
              <w:right w:w="0" w:type="dxa"/>
            </w:tcMar>
            <w:vAlign w:val="center"/>
          </w:tcPr>
          <w:p w14:paraId="2886B736" w14:textId="77777777" w:rsidR="002117B2" w:rsidRDefault="002117B2">
            <w:pPr>
              <w:spacing w:after="0"/>
              <w:ind w:left="2" w:right="2"/>
            </w:pPr>
          </w:p>
        </w:tc>
      </w:tr>
      <w:tr w:rsidR="002117B2" w14:paraId="3F45494F"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8C60B33"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40A87E91"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1B0C4EC1"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4235FFEE"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2CA821AF"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4920F058"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0FB13B89" w14:textId="77777777" w:rsidR="002117B2" w:rsidRPr="00E50FE7" w:rsidRDefault="002117B2">
            <w:pPr>
              <w:spacing w:after="0"/>
              <w:ind w:left="2" w:right="2"/>
              <w:rPr>
                <w:sz w:val="10"/>
                <w:szCs w:val="10"/>
              </w:rPr>
            </w:pPr>
          </w:p>
        </w:tc>
        <w:tc>
          <w:tcPr>
            <w:tcW w:w="2074" w:type="dxa"/>
            <w:shd w:val="clear" w:color="auto" w:fill="BDD7EE"/>
            <w:tcMar>
              <w:top w:w="0" w:type="dxa"/>
              <w:left w:w="0" w:type="dxa"/>
              <w:bottom w:w="0" w:type="dxa"/>
              <w:right w:w="0" w:type="dxa"/>
            </w:tcMar>
            <w:vAlign w:val="center"/>
          </w:tcPr>
          <w:p w14:paraId="1D45A8E6" w14:textId="77777777" w:rsidR="002117B2" w:rsidRPr="00E50FE7" w:rsidRDefault="002117B2">
            <w:pPr>
              <w:spacing w:after="0"/>
              <w:ind w:left="2" w:right="2"/>
              <w:rPr>
                <w:sz w:val="10"/>
                <w:szCs w:val="10"/>
              </w:rPr>
            </w:pPr>
          </w:p>
        </w:tc>
        <w:tc>
          <w:tcPr>
            <w:tcW w:w="283" w:type="dxa"/>
            <w:tcBorders>
              <w:right w:val="single" w:sz="8" w:space="0" w:color="000000"/>
            </w:tcBorders>
            <w:shd w:val="clear" w:color="auto" w:fill="BDD7EE"/>
            <w:tcMar>
              <w:top w:w="0" w:type="dxa"/>
              <w:left w:w="0" w:type="dxa"/>
              <w:bottom w:w="0" w:type="dxa"/>
              <w:right w:w="0" w:type="dxa"/>
            </w:tcMar>
            <w:vAlign w:val="center"/>
          </w:tcPr>
          <w:p w14:paraId="146D46E4" w14:textId="77777777" w:rsidR="002117B2" w:rsidRPr="00E50FE7" w:rsidRDefault="002117B2">
            <w:pPr>
              <w:spacing w:after="0"/>
              <w:ind w:left="2" w:right="2"/>
              <w:rPr>
                <w:sz w:val="10"/>
                <w:szCs w:val="10"/>
              </w:rPr>
            </w:pPr>
          </w:p>
        </w:tc>
      </w:tr>
      <w:tr w:rsidR="002117B2" w14:paraId="2F966CF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01A232E"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5C4807D" w14:textId="77777777" w:rsidR="002117B2" w:rsidRDefault="00616284">
            <w:pPr>
              <w:spacing w:after="0"/>
              <w:ind w:left="2" w:right="2"/>
            </w:pPr>
            <w:r>
              <w:rPr>
                <w:rFonts w:ascii="Calibri" w:eastAsia="Calibri" w:hAnsi="Calibri" w:cs="Calibri"/>
                <w:color w:val="111111"/>
                <w:sz w:val="18"/>
                <w:szCs w:val="18"/>
              </w:rPr>
              <w:t>The underlying problem:</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822103" w14:textId="77777777" w:rsidR="002117B2" w:rsidRDefault="00616284">
            <w:pPr>
              <w:spacing w:after="0"/>
              <w:ind w:left="2" w:right="2"/>
            </w:pPr>
            <w:r>
              <w:rPr>
                <w:rFonts w:ascii="Calibri" w:eastAsia="Calibri" w:hAnsi="Calibri" w:cs="Calibri"/>
                <w:color w:val="111111"/>
                <w:sz w:val="18"/>
                <w:szCs w:val="18"/>
              </w:rPr>
              <w:t>The TERT notes with reference to NMVOC emissions from  5A - Solid waste disposal and all years that there is an over-estimate of emissions because a Tier 1 is applied resulting in a key category. This was raised during the 2019 NECD review and the methodology proposed by the TERT in 2019 was not implemented.</w:t>
            </w:r>
          </w:p>
        </w:tc>
        <w:tc>
          <w:tcPr>
            <w:tcW w:w="283" w:type="dxa"/>
            <w:tcBorders>
              <w:right w:val="single" w:sz="8" w:space="0" w:color="000000"/>
            </w:tcBorders>
            <w:shd w:val="clear" w:color="auto" w:fill="BDD7EE"/>
            <w:tcMar>
              <w:top w:w="0" w:type="dxa"/>
              <w:left w:w="0" w:type="dxa"/>
              <w:bottom w:w="0" w:type="dxa"/>
              <w:right w:w="0" w:type="dxa"/>
            </w:tcMar>
            <w:vAlign w:val="center"/>
          </w:tcPr>
          <w:p w14:paraId="2139559F" w14:textId="77777777" w:rsidR="002117B2" w:rsidRDefault="002117B2">
            <w:pPr>
              <w:spacing w:after="0"/>
              <w:ind w:left="2" w:right="2"/>
            </w:pPr>
          </w:p>
        </w:tc>
      </w:tr>
      <w:tr w:rsidR="002117B2" w14:paraId="07C7B89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8DED5AF"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7B87CE1" w14:textId="77777777" w:rsidR="002117B2" w:rsidRDefault="00616284">
            <w:pPr>
              <w:spacing w:after="0"/>
              <w:ind w:left="2" w:right="2"/>
            </w:pPr>
            <w:r>
              <w:rPr>
                <w:rFonts w:ascii="Calibri" w:eastAsia="Calibri" w:hAnsi="Calibri" w:cs="Calibri"/>
                <w:color w:val="111111"/>
                <w:sz w:val="18"/>
                <w:szCs w:val="18"/>
              </w:rPr>
              <w:t>Summarise the methodology used:</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9BA991" w14:textId="6AB9B824" w:rsidR="002117B2" w:rsidRDefault="00616284">
            <w:pPr>
              <w:spacing w:after="0"/>
              <w:ind w:left="2" w:right="2"/>
            </w:pPr>
            <w:r>
              <w:rPr>
                <w:rFonts w:ascii="Calibri" w:eastAsia="Calibri" w:hAnsi="Calibri" w:cs="Calibri"/>
                <w:color w:val="111111"/>
                <w:sz w:val="18"/>
                <w:szCs w:val="18"/>
              </w:rPr>
              <w:t>NMVOC emissions are estimated on the basis of CH4 emissions : CH4 emissions from 5A (as reported to the UNFCCC) are converted into a volume of CH4 (using the molar volume of CH4) and then into a volume of biogas (applying the fraction of CH4 in biogas F = 50%) and then, the fraction of NMVOC in biogas presented in the note at the bottom of table 3-1, chapter 5A of the 2016 EMEP/EEA GB (5.65 g/m3 NMVOC of landfill gas) is applied.</w:t>
            </w:r>
          </w:p>
        </w:tc>
        <w:tc>
          <w:tcPr>
            <w:tcW w:w="283" w:type="dxa"/>
            <w:tcBorders>
              <w:right w:val="single" w:sz="8" w:space="0" w:color="000000"/>
            </w:tcBorders>
            <w:shd w:val="clear" w:color="auto" w:fill="BDD7EE"/>
            <w:tcMar>
              <w:top w:w="0" w:type="dxa"/>
              <w:left w:w="0" w:type="dxa"/>
              <w:bottom w:w="0" w:type="dxa"/>
              <w:right w:w="0" w:type="dxa"/>
            </w:tcMar>
            <w:vAlign w:val="center"/>
          </w:tcPr>
          <w:p w14:paraId="7DC4F3BE" w14:textId="77777777" w:rsidR="002117B2" w:rsidRDefault="002117B2">
            <w:pPr>
              <w:spacing w:after="0"/>
              <w:ind w:left="2" w:right="2"/>
            </w:pPr>
          </w:p>
        </w:tc>
      </w:tr>
      <w:tr w:rsidR="002117B2" w14:paraId="46DE8679"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4011003"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07CFFB71" w14:textId="77777777" w:rsidR="002117B2" w:rsidRPr="00E50FE7" w:rsidRDefault="002117B2">
            <w:pPr>
              <w:spacing w:after="0"/>
              <w:ind w:left="2" w:right="2"/>
              <w:rPr>
                <w:sz w:val="10"/>
                <w:szCs w:val="1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50EDC1F1" w14:textId="77777777" w:rsidR="002117B2" w:rsidRPr="00E50FE7" w:rsidRDefault="002117B2">
            <w:pPr>
              <w:spacing w:after="0"/>
              <w:ind w:left="2" w:right="2"/>
              <w:rPr>
                <w:sz w:val="10"/>
                <w:szCs w:val="1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4C36149D" w14:textId="77777777" w:rsidR="002117B2" w:rsidRPr="00E50FE7" w:rsidRDefault="002117B2">
            <w:pPr>
              <w:spacing w:after="0"/>
              <w:ind w:left="2" w:right="2"/>
              <w:rPr>
                <w:sz w:val="10"/>
                <w:szCs w:val="1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51C1B19C" w14:textId="77777777" w:rsidR="002117B2" w:rsidRPr="00E50FE7" w:rsidRDefault="002117B2">
            <w:pPr>
              <w:spacing w:after="0"/>
              <w:ind w:left="2" w:right="2"/>
              <w:rPr>
                <w:sz w:val="10"/>
                <w:szCs w:val="1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0EC7A111" w14:textId="77777777" w:rsidR="002117B2" w:rsidRPr="00E50FE7" w:rsidRDefault="002117B2">
            <w:pPr>
              <w:spacing w:after="0"/>
              <w:ind w:left="2" w:right="2"/>
              <w:rPr>
                <w:sz w:val="10"/>
                <w:szCs w:val="1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1B7AB22A" w14:textId="77777777" w:rsidR="002117B2" w:rsidRPr="00E50FE7" w:rsidRDefault="002117B2">
            <w:pPr>
              <w:spacing w:after="0"/>
              <w:ind w:left="2" w:right="2"/>
              <w:rPr>
                <w:sz w:val="10"/>
                <w:szCs w:val="10"/>
              </w:rPr>
            </w:pPr>
          </w:p>
        </w:tc>
        <w:tc>
          <w:tcPr>
            <w:tcW w:w="2074" w:type="dxa"/>
            <w:tcBorders>
              <w:bottom w:val="single" w:sz="8" w:space="0" w:color="000000"/>
            </w:tcBorders>
            <w:shd w:val="clear" w:color="auto" w:fill="BDD7EE"/>
            <w:tcMar>
              <w:top w:w="0" w:type="dxa"/>
              <w:left w:w="0" w:type="dxa"/>
              <w:bottom w:w="0" w:type="dxa"/>
              <w:right w:w="0" w:type="dxa"/>
            </w:tcMar>
            <w:vAlign w:val="center"/>
          </w:tcPr>
          <w:p w14:paraId="4D11B672" w14:textId="77777777" w:rsidR="002117B2" w:rsidRPr="00E50FE7" w:rsidRDefault="002117B2">
            <w:pPr>
              <w:spacing w:after="0"/>
              <w:ind w:left="2" w:right="2"/>
              <w:rPr>
                <w:sz w:val="10"/>
                <w:szCs w:val="10"/>
              </w:rPr>
            </w:pPr>
          </w:p>
        </w:tc>
        <w:tc>
          <w:tcPr>
            <w:tcW w:w="283"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3B910E4D" w14:textId="77777777" w:rsidR="002117B2" w:rsidRPr="00E50FE7" w:rsidRDefault="002117B2">
            <w:pPr>
              <w:spacing w:after="0"/>
              <w:ind w:left="2" w:right="2"/>
              <w:rPr>
                <w:sz w:val="10"/>
                <w:szCs w:val="10"/>
              </w:rPr>
            </w:pPr>
          </w:p>
        </w:tc>
      </w:tr>
      <w:tr w:rsidR="002117B2" w14:paraId="5B810EEE" w14:textId="77777777" w:rsidTr="00E50FE7">
        <w:trPr>
          <w:cantSplit/>
          <w:jc w:val="center"/>
        </w:trPr>
        <w:tc>
          <w:tcPr>
            <w:tcW w:w="217"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1D9BC60" w14:textId="77777777" w:rsidR="002117B2" w:rsidRDefault="00616284">
            <w:pPr>
              <w:spacing w:after="0"/>
              <w:ind w:left="2" w:right="2"/>
              <w:jc w:val="center"/>
            </w:pPr>
            <w:r>
              <w:rPr>
                <w:rFonts w:ascii="Calibri" w:eastAsia="Calibri" w:hAnsi="Calibri" w:cs="Calibri"/>
                <w:b/>
                <w:color w:val="FFFFFF"/>
                <w:sz w:val="18"/>
                <w:szCs w:val="18"/>
              </w:rPr>
              <w:t>2</w:t>
            </w:r>
          </w:p>
        </w:tc>
        <w:tc>
          <w:tcPr>
            <w:tcW w:w="9412" w:type="dxa"/>
            <w:gridSpan w:val="8"/>
            <w:tcBorders>
              <w:top w:val="single" w:sz="8" w:space="0" w:color="000000"/>
            </w:tcBorders>
            <w:shd w:val="clear" w:color="auto" w:fill="BDD7EE"/>
            <w:tcMar>
              <w:top w:w="0" w:type="dxa"/>
              <w:left w:w="0" w:type="dxa"/>
              <w:bottom w:w="0" w:type="dxa"/>
              <w:right w:w="0" w:type="dxa"/>
            </w:tcMar>
            <w:vAlign w:val="center"/>
          </w:tcPr>
          <w:p w14:paraId="791CA8B5" w14:textId="77777777" w:rsidR="002117B2" w:rsidRDefault="00616284">
            <w:pPr>
              <w:spacing w:after="0"/>
              <w:ind w:left="2" w:right="2"/>
            </w:pPr>
            <w:r>
              <w:rPr>
                <w:rFonts w:ascii="Calibri" w:eastAsia="Calibri" w:hAnsi="Calibri" w:cs="Calibri"/>
                <w:b/>
                <w:color w:val="111111"/>
                <w:sz w:val="18"/>
                <w:szCs w:val="18"/>
              </w:rPr>
              <w:t>Details of the corrected estimate</w:t>
            </w:r>
          </w:p>
        </w:tc>
      </w:tr>
      <w:tr w:rsidR="002117B2" w14:paraId="2598D7C3"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1269EF3"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41AC85A0"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28F318E" w14:textId="77777777" w:rsidR="002117B2" w:rsidRDefault="00616284">
            <w:pPr>
              <w:spacing w:after="0"/>
              <w:ind w:left="2" w:right="2"/>
              <w:jc w:val="center"/>
            </w:pPr>
            <w:r>
              <w:rPr>
                <w:rFonts w:ascii="Calibri" w:eastAsia="Calibri" w:hAnsi="Calibri" w:cs="Calibri"/>
                <w:b/>
                <w:color w:val="111111"/>
                <w:sz w:val="18"/>
                <w:szCs w:val="18"/>
              </w:rPr>
              <w:t>Original Estimate (kt)</w:t>
            </w:r>
          </w:p>
        </w:tc>
        <w:tc>
          <w:tcPr>
            <w:tcW w:w="2074"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A6CDF24" w14:textId="77777777" w:rsidR="002117B2" w:rsidRDefault="00616284">
            <w:pPr>
              <w:spacing w:after="0"/>
              <w:ind w:left="2" w:right="2"/>
              <w:jc w:val="center"/>
            </w:pPr>
            <w:r>
              <w:rPr>
                <w:rFonts w:ascii="Calibri" w:eastAsia="Calibri" w:hAnsi="Calibri" w:cs="Calibri"/>
                <w:b/>
                <w:color w:val="111111"/>
                <w:sz w:val="18"/>
                <w:szCs w:val="18"/>
              </w:rPr>
              <w:t>Notes</w:t>
            </w:r>
          </w:p>
        </w:tc>
        <w:tc>
          <w:tcPr>
            <w:tcW w:w="283" w:type="dxa"/>
            <w:tcBorders>
              <w:right w:val="single" w:sz="8" w:space="0" w:color="000000"/>
            </w:tcBorders>
            <w:shd w:val="clear" w:color="auto" w:fill="BDD7EE"/>
            <w:tcMar>
              <w:top w:w="0" w:type="dxa"/>
              <w:left w:w="0" w:type="dxa"/>
              <w:bottom w:w="0" w:type="dxa"/>
              <w:right w:w="0" w:type="dxa"/>
            </w:tcMar>
            <w:vAlign w:val="center"/>
          </w:tcPr>
          <w:p w14:paraId="5DB937A7" w14:textId="77777777" w:rsidR="002117B2" w:rsidRDefault="002117B2">
            <w:pPr>
              <w:spacing w:after="0"/>
              <w:ind w:left="2" w:right="2"/>
              <w:jc w:val="center"/>
            </w:pPr>
          </w:p>
        </w:tc>
      </w:tr>
      <w:tr w:rsidR="002117B2" w14:paraId="454B1421"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39A225D"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B253168"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CE56B13" w14:textId="7DDA3FF1"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849A153"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BBEDCCB" w14:textId="7DFD24F8"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4294A51" w14:textId="61D3835C"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F14AE91" w14:textId="3B2B13B4"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2074"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7799970" w14:textId="77777777" w:rsidR="002117B2" w:rsidRDefault="002117B2">
            <w:pPr>
              <w:spacing w:after="0"/>
              <w:ind w:left="2" w:right="2"/>
              <w:jc w:val="center"/>
            </w:pPr>
          </w:p>
        </w:tc>
        <w:tc>
          <w:tcPr>
            <w:tcW w:w="283" w:type="dxa"/>
            <w:tcBorders>
              <w:right w:val="single" w:sz="8" w:space="0" w:color="000000"/>
            </w:tcBorders>
            <w:shd w:val="clear" w:color="auto" w:fill="BDD7EE"/>
            <w:tcMar>
              <w:top w:w="0" w:type="dxa"/>
              <w:left w:w="0" w:type="dxa"/>
              <w:bottom w:w="0" w:type="dxa"/>
              <w:right w:w="0" w:type="dxa"/>
            </w:tcMar>
            <w:vAlign w:val="center"/>
          </w:tcPr>
          <w:p w14:paraId="7F003054" w14:textId="77777777" w:rsidR="002117B2" w:rsidRDefault="002117B2">
            <w:pPr>
              <w:spacing w:after="0"/>
              <w:ind w:left="2" w:right="2"/>
              <w:jc w:val="center"/>
            </w:pPr>
          </w:p>
        </w:tc>
      </w:tr>
      <w:tr w:rsidR="002117B2" w14:paraId="55B50AC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C501B84"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83C7583"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75056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5DCA1C" w14:textId="77777777" w:rsidR="002117B2" w:rsidRDefault="00616284">
            <w:pPr>
              <w:spacing w:after="0"/>
              <w:ind w:left="2" w:right="2"/>
            </w:pPr>
            <w:r>
              <w:rPr>
                <w:rFonts w:ascii="Calibri" w:eastAsia="Calibri" w:hAnsi="Calibri" w:cs="Calibri"/>
                <w:color w:val="111111"/>
                <w:sz w:val="18"/>
                <w:szCs w:val="18"/>
              </w:rPr>
              <w:t>1.925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1F981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1BB22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8E7ABB"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071561"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06CBDB9F" w14:textId="77777777" w:rsidR="002117B2" w:rsidRDefault="002117B2">
            <w:pPr>
              <w:spacing w:after="0"/>
              <w:ind w:left="2" w:right="2"/>
            </w:pPr>
          </w:p>
        </w:tc>
      </w:tr>
      <w:tr w:rsidR="002117B2" w14:paraId="498D1EEB"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D6B279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2DBC27F"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C163C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1D4A0B" w14:textId="77777777" w:rsidR="002117B2" w:rsidRDefault="00616284">
            <w:pPr>
              <w:spacing w:after="0"/>
              <w:ind w:left="2" w:right="2"/>
            </w:pPr>
            <w:r>
              <w:rPr>
                <w:rFonts w:ascii="Calibri" w:eastAsia="Calibri" w:hAnsi="Calibri" w:cs="Calibri"/>
                <w:color w:val="111111"/>
                <w:sz w:val="18"/>
                <w:szCs w:val="18"/>
              </w:rPr>
              <w:t>1.882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AE5AC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DDEC9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C97A2D"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60E1B9"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55C033B9" w14:textId="77777777" w:rsidR="002117B2" w:rsidRDefault="002117B2">
            <w:pPr>
              <w:spacing w:after="0"/>
              <w:ind w:left="2" w:right="2"/>
            </w:pPr>
          </w:p>
        </w:tc>
      </w:tr>
      <w:tr w:rsidR="002117B2" w14:paraId="717D9741"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5E7E7A0"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CADBF30"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8C7B0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58158F" w14:textId="77777777" w:rsidR="002117B2" w:rsidRDefault="00616284">
            <w:pPr>
              <w:spacing w:after="0"/>
              <w:ind w:left="2" w:right="2"/>
            </w:pPr>
            <w:r>
              <w:rPr>
                <w:rFonts w:ascii="Calibri" w:eastAsia="Calibri" w:hAnsi="Calibri" w:cs="Calibri"/>
                <w:color w:val="111111"/>
                <w:sz w:val="18"/>
                <w:szCs w:val="18"/>
              </w:rPr>
              <w:t>1.120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3FBEE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8B875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D43C98"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257632"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16345A6C" w14:textId="77777777" w:rsidR="002117B2" w:rsidRDefault="002117B2">
            <w:pPr>
              <w:spacing w:after="0"/>
              <w:ind w:left="2" w:right="2"/>
            </w:pPr>
          </w:p>
        </w:tc>
      </w:tr>
      <w:tr w:rsidR="002117B2" w14:paraId="7185F481"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A209764"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F5CBE0E"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F3FA2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CF6BB4" w14:textId="77777777" w:rsidR="002117B2" w:rsidRDefault="00616284">
            <w:pPr>
              <w:spacing w:after="0"/>
              <w:ind w:left="2" w:right="2"/>
            </w:pPr>
            <w:r>
              <w:rPr>
                <w:rFonts w:ascii="Calibri" w:eastAsia="Calibri" w:hAnsi="Calibri" w:cs="Calibri"/>
                <w:color w:val="111111"/>
                <w:sz w:val="18"/>
                <w:szCs w:val="18"/>
              </w:rPr>
              <w:t>0.713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63963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86437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D75916"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81A2FF"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5956C9BB" w14:textId="77777777" w:rsidR="002117B2" w:rsidRDefault="002117B2">
            <w:pPr>
              <w:spacing w:after="0"/>
              <w:ind w:left="2" w:right="2"/>
            </w:pPr>
          </w:p>
        </w:tc>
      </w:tr>
      <w:tr w:rsidR="002117B2" w14:paraId="0FB1658B"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B01F67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5583760"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512E0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6069D6" w14:textId="77777777" w:rsidR="002117B2" w:rsidRDefault="00616284">
            <w:pPr>
              <w:spacing w:after="0"/>
              <w:ind w:left="2" w:right="2"/>
            </w:pPr>
            <w:r>
              <w:rPr>
                <w:rFonts w:ascii="Calibri" w:eastAsia="Calibri" w:hAnsi="Calibri" w:cs="Calibri"/>
                <w:color w:val="111111"/>
                <w:sz w:val="18"/>
                <w:szCs w:val="18"/>
              </w:rPr>
              <w:t>0.540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C90AA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AAE00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60E594"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54165D"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73EABF14" w14:textId="77777777" w:rsidR="002117B2" w:rsidRDefault="002117B2">
            <w:pPr>
              <w:spacing w:after="0"/>
              <w:ind w:left="2" w:right="2"/>
            </w:pPr>
          </w:p>
        </w:tc>
      </w:tr>
      <w:tr w:rsidR="002117B2" w14:paraId="3355D74F"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39141F7"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69C6A9D"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B2C04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8678CC" w14:textId="77777777" w:rsidR="002117B2" w:rsidRDefault="00616284">
            <w:pPr>
              <w:spacing w:after="0"/>
              <w:ind w:left="2" w:right="2"/>
            </w:pPr>
            <w:r>
              <w:rPr>
                <w:rFonts w:ascii="Calibri" w:eastAsia="Calibri" w:hAnsi="Calibri" w:cs="Calibri"/>
                <w:color w:val="111111"/>
                <w:sz w:val="18"/>
                <w:szCs w:val="18"/>
              </w:rPr>
              <w:t>0.540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D4F54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D1EC4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62FB18"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47BF9B"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358E68C3" w14:textId="77777777" w:rsidR="002117B2" w:rsidRDefault="002117B2">
            <w:pPr>
              <w:spacing w:after="0"/>
              <w:ind w:left="2" w:right="2"/>
            </w:pPr>
          </w:p>
        </w:tc>
      </w:tr>
      <w:tr w:rsidR="002117B2" w14:paraId="3EB68101"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F31BCB3"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3221186A"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3AB257E0"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66E1FD25"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06B96D4E"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12A2FC4A"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11B56A25" w14:textId="77777777" w:rsidR="002117B2" w:rsidRPr="00E50FE7" w:rsidRDefault="002117B2">
            <w:pPr>
              <w:spacing w:after="0"/>
              <w:ind w:left="2" w:right="2"/>
              <w:rPr>
                <w:sz w:val="10"/>
                <w:szCs w:val="10"/>
              </w:rPr>
            </w:pPr>
          </w:p>
        </w:tc>
        <w:tc>
          <w:tcPr>
            <w:tcW w:w="2074" w:type="dxa"/>
            <w:shd w:val="clear" w:color="auto" w:fill="BDD7EE"/>
            <w:tcMar>
              <w:top w:w="0" w:type="dxa"/>
              <w:left w:w="0" w:type="dxa"/>
              <w:bottom w:w="0" w:type="dxa"/>
              <w:right w:w="0" w:type="dxa"/>
            </w:tcMar>
            <w:vAlign w:val="center"/>
          </w:tcPr>
          <w:p w14:paraId="77B5B6F3" w14:textId="77777777" w:rsidR="002117B2" w:rsidRPr="00E50FE7" w:rsidRDefault="002117B2">
            <w:pPr>
              <w:spacing w:after="0"/>
              <w:ind w:left="2" w:right="2"/>
              <w:rPr>
                <w:sz w:val="10"/>
                <w:szCs w:val="10"/>
              </w:rPr>
            </w:pPr>
          </w:p>
        </w:tc>
        <w:tc>
          <w:tcPr>
            <w:tcW w:w="283" w:type="dxa"/>
            <w:tcBorders>
              <w:right w:val="single" w:sz="8" w:space="0" w:color="000000"/>
            </w:tcBorders>
            <w:shd w:val="clear" w:color="auto" w:fill="BDD7EE"/>
            <w:tcMar>
              <w:top w:w="0" w:type="dxa"/>
              <w:left w:w="0" w:type="dxa"/>
              <w:bottom w:w="0" w:type="dxa"/>
              <w:right w:w="0" w:type="dxa"/>
            </w:tcMar>
            <w:vAlign w:val="center"/>
          </w:tcPr>
          <w:p w14:paraId="11387A3F" w14:textId="77777777" w:rsidR="002117B2" w:rsidRPr="00E50FE7" w:rsidRDefault="002117B2">
            <w:pPr>
              <w:spacing w:after="0"/>
              <w:ind w:left="2" w:right="2"/>
              <w:rPr>
                <w:sz w:val="10"/>
                <w:szCs w:val="10"/>
              </w:rPr>
            </w:pPr>
          </w:p>
        </w:tc>
      </w:tr>
      <w:tr w:rsidR="002117B2" w14:paraId="6EF00D7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A7FCD17"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13EBE15F"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B31B048" w14:textId="77777777" w:rsidR="002117B2" w:rsidRDefault="00616284">
            <w:pPr>
              <w:spacing w:after="0"/>
              <w:ind w:left="2" w:right="2"/>
              <w:jc w:val="center"/>
            </w:pPr>
            <w:r>
              <w:rPr>
                <w:rFonts w:ascii="Calibri" w:eastAsia="Calibri" w:hAnsi="Calibri" w:cs="Calibri"/>
                <w:b/>
                <w:color w:val="111111"/>
                <w:sz w:val="18"/>
                <w:szCs w:val="18"/>
              </w:rPr>
              <w:t>Technical Correction calculated by the TERT (kt)</w:t>
            </w:r>
          </w:p>
        </w:tc>
        <w:tc>
          <w:tcPr>
            <w:tcW w:w="2074"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C44B1E5" w14:textId="77777777" w:rsidR="002117B2" w:rsidRDefault="00616284">
            <w:pPr>
              <w:spacing w:after="0"/>
              <w:ind w:left="2" w:right="2"/>
              <w:jc w:val="center"/>
            </w:pPr>
            <w:r>
              <w:rPr>
                <w:rFonts w:ascii="Calibri" w:eastAsia="Calibri" w:hAnsi="Calibri" w:cs="Calibri"/>
                <w:b/>
                <w:color w:val="111111"/>
                <w:sz w:val="18"/>
                <w:szCs w:val="18"/>
              </w:rPr>
              <w:t>Notes</w:t>
            </w:r>
          </w:p>
        </w:tc>
        <w:tc>
          <w:tcPr>
            <w:tcW w:w="283" w:type="dxa"/>
            <w:tcBorders>
              <w:right w:val="single" w:sz="8" w:space="0" w:color="000000"/>
            </w:tcBorders>
            <w:shd w:val="clear" w:color="auto" w:fill="BDD7EE"/>
            <w:tcMar>
              <w:top w:w="0" w:type="dxa"/>
              <w:left w:w="0" w:type="dxa"/>
              <w:bottom w:w="0" w:type="dxa"/>
              <w:right w:w="0" w:type="dxa"/>
            </w:tcMar>
            <w:vAlign w:val="center"/>
          </w:tcPr>
          <w:p w14:paraId="12695BB6" w14:textId="77777777" w:rsidR="002117B2" w:rsidRDefault="002117B2">
            <w:pPr>
              <w:spacing w:after="0"/>
              <w:ind w:left="2" w:right="2"/>
              <w:jc w:val="center"/>
            </w:pPr>
          </w:p>
        </w:tc>
      </w:tr>
      <w:tr w:rsidR="002117B2" w14:paraId="7869D21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A41587D"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7EC6730"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33F639F" w14:textId="3A52C53C"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1DD93AC"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C76D6D9" w14:textId="17EBB1EB"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61D0080" w14:textId="1C968451"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1A90BCA" w14:textId="5256287B"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2074"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D35FD54" w14:textId="77777777" w:rsidR="002117B2" w:rsidRDefault="002117B2">
            <w:pPr>
              <w:spacing w:after="0"/>
              <w:ind w:left="2" w:right="2"/>
              <w:jc w:val="center"/>
            </w:pPr>
          </w:p>
        </w:tc>
        <w:tc>
          <w:tcPr>
            <w:tcW w:w="283" w:type="dxa"/>
            <w:tcBorders>
              <w:right w:val="single" w:sz="8" w:space="0" w:color="000000"/>
            </w:tcBorders>
            <w:shd w:val="clear" w:color="auto" w:fill="BDD7EE"/>
            <w:tcMar>
              <w:top w:w="0" w:type="dxa"/>
              <w:left w:w="0" w:type="dxa"/>
              <w:bottom w:w="0" w:type="dxa"/>
              <w:right w:w="0" w:type="dxa"/>
            </w:tcMar>
            <w:vAlign w:val="center"/>
          </w:tcPr>
          <w:p w14:paraId="2B445B28" w14:textId="77777777" w:rsidR="002117B2" w:rsidRDefault="002117B2">
            <w:pPr>
              <w:spacing w:after="0"/>
              <w:ind w:left="2" w:right="2"/>
              <w:jc w:val="center"/>
            </w:pPr>
          </w:p>
        </w:tc>
      </w:tr>
      <w:tr w:rsidR="002117B2" w14:paraId="0C43AE90"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EAD9DEA"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58FE0AB"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AABE9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5F533F" w14:textId="77777777" w:rsidR="002117B2" w:rsidRDefault="00616284">
            <w:pPr>
              <w:spacing w:after="0"/>
              <w:ind w:left="2" w:right="2"/>
            </w:pPr>
            <w:r>
              <w:rPr>
                <w:rFonts w:ascii="Calibri" w:eastAsia="Calibri" w:hAnsi="Calibri" w:cs="Calibri"/>
                <w:color w:val="111111"/>
                <w:sz w:val="18"/>
                <w:szCs w:val="18"/>
              </w:rPr>
              <w:t>0.492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09530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C2334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3592BF"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4B5119"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4F731043" w14:textId="77777777" w:rsidR="002117B2" w:rsidRDefault="002117B2">
            <w:pPr>
              <w:spacing w:after="0"/>
              <w:ind w:left="2" w:right="2"/>
            </w:pPr>
          </w:p>
        </w:tc>
      </w:tr>
      <w:tr w:rsidR="002117B2" w14:paraId="04C98867"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B8C8416"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8B3F530"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D2314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B9D1A7" w14:textId="77777777" w:rsidR="002117B2" w:rsidRDefault="00616284">
            <w:pPr>
              <w:spacing w:after="0"/>
              <w:ind w:left="2" w:right="2"/>
            </w:pPr>
            <w:r>
              <w:rPr>
                <w:rFonts w:ascii="Calibri" w:eastAsia="Calibri" w:hAnsi="Calibri" w:cs="Calibri"/>
                <w:color w:val="111111"/>
                <w:sz w:val="18"/>
                <w:szCs w:val="18"/>
              </w:rPr>
              <w:t>0.492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ACD17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ED1F0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CCCE26"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0D69E2"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43A3FA63" w14:textId="77777777" w:rsidR="002117B2" w:rsidRDefault="002117B2">
            <w:pPr>
              <w:spacing w:after="0"/>
              <w:ind w:left="2" w:right="2"/>
            </w:pPr>
          </w:p>
        </w:tc>
      </w:tr>
      <w:tr w:rsidR="002117B2" w14:paraId="6776AADE"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2828221"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3C6F3FF"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8B467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1B3259" w14:textId="77777777" w:rsidR="002117B2" w:rsidRDefault="00616284">
            <w:pPr>
              <w:spacing w:after="0"/>
              <w:ind w:left="2" w:right="2"/>
            </w:pPr>
            <w:r>
              <w:rPr>
                <w:rFonts w:ascii="Calibri" w:eastAsia="Calibri" w:hAnsi="Calibri" w:cs="Calibri"/>
                <w:color w:val="111111"/>
                <w:sz w:val="18"/>
                <w:szCs w:val="18"/>
              </w:rPr>
              <w:t>0.414</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67687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2022F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E9D68A"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D83530"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497D5019" w14:textId="77777777" w:rsidR="002117B2" w:rsidRDefault="002117B2">
            <w:pPr>
              <w:spacing w:after="0"/>
              <w:ind w:left="2" w:right="2"/>
            </w:pPr>
          </w:p>
        </w:tc>
      </w:tr>
      <w:tr w:rsidR="002117B2" w14:paraId="6D701A1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E85F40B"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3F02B55"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BB0D7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010AF7" w14:textId="77777777" w:rsidR="002117B2" w:rsidRDefault="00616284">
            <w:pPr>
              <w:spacing w:after="0"/>
              <w:ind w:left="2" w:right="2"/>
            </w:pPr>
            <w:r>
              <w:rPr>
                <w:rFonts w:ascii="Calibri" w:eastAsia="Calibri" w:hAnsi="Calibri" w:cs="Calibri"/>
                <w:color w:val="111111"/>
                <w:sz w:val="18"/>
                <w:szCs w:val="18"/>
              </w:rPr>
              <w:t>0.395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0E730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60CB5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646CC4"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AD7797"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4AD1CB46" w14:textId="77777777" w:rsidR="002117B2" w:rsidRDefault="002117B2">
            <w:pPr>
              <w:spacing w:after="0"/>
              <w:ind w:left="2" w:right="2"/>
            </w:pPr>
          </w:p>
        </w:tc>
      </w:tr>
      <w:tr w:rsidR="002117B2" w14:paraId="22CB2509"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0A5C026"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1C9128C"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D96D2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3D9D47" w14:textId="77777777" w:rsidR="002117B2" w:rsidRDefault="00616284">
            <w:pPr>
              <w:spacing w:after="0"/>
              <w:ind w:left="2" w:right="2"/>
            </w:pPr>
            <w:r>
              <w:rPr>
                <w:rFonts w:ascii="Calibri" w:eastAsia="Calibri" w:hAnsi="Calibri" w:cs="Calibri"/>
                <w:color w:val="111111"/>
                <w:sz w:val="18"/>
                <w:szCs w:val="18"/>
              </w:rPr>
              <w:t>0.406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C78F6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D5176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EF4147"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A8147D"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2E26D521" w14:textId="77777777" w:rsidR="002117B2" w:rsidRDefault="002117B2">
            <w:pPr>
              <w:spacing w:after="0"/>
              <w:ind w:left="2" w:right="2"/>
            </w:pPr>
          </w:p>
        </w:tc>
      </w:tr>
      <w:tr w:rsidR="002117B2" w14:paraId="47CB6FE4"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658A023"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1043EB2"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E626A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65B566" w14:textId="77777777" w:rsidR="002117B2" w:rsidRDefault="00616284">
            <w:pPr>
              <w:spacing w:after="0"/>
              <w:ind w:left="2" w:right="2"/>
            </w:pPr>
            <w:r>
              <w:rPr>
                <w:rFonts w:ascii="Calibri" w:eastAsia="Calibri" w:hAnsi="Calibri" w:cs="Calibri"/>
                <w:color w:val="111111"/>
                <w:sz w:val="18"/>
                <w:szCs w:val="18"/>
              </w:rPr>
              <w:t>0.327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ECF70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CC990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17C689"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284E8E"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035AA729" w14:textId="77777777" w:rsidR="002117B2" w:rsidRDefault="002117B2">
            <w:pPr>
              <w:spacing w:after="0"/>
              <w:ind w:left="2" w:right="2"/>
            </w:pPr>
          </w:p>
        </w:tc>
      </w:tr>
      <w:tr w:rsidR="002117B2" w14:paraId="1610F435"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29046CE"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53F949E4"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1D948FBD"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675B0C51"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2AF46448"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7CB7E45C" w14:textId="77777777" w:rsidR="002117B2" w:rsidRPr="00E50FE7" w:rsidRDefault="002117B2">
            <w:pPr>
              <w:spacing w:after="0"/>
              <w:ind w:left="2" w:right="2"/>
              <w:rPr>
                <w:sz w:val="10"/>
                <w:szCs w:val="10"/>
              </w:rPr>
            </w:pPr>
          </w:p>
        </w:tc>
        <w:tc>
          <w:tcPr>
            <w:tcW w:w="1123" w:type="dxa"/>
            <w:shd w:val="clear" w:color="auto" w:fill="BDD7EE"/>
            <w:tcMar>
              <w:top w:w="0" w:type="dxa"/>
              <w:left w:w="0" w:type="dxa"/>
              <w:bottom w:w="0" w:type="dxa"/>
              <w:right w:w="0" w:type="dxa"/>
            </w:tcMar>
            <w:vAlign w:val="center"/>
          </w:tcPr>
          <w:p w14:paraId="35C0A531" w14:textId="77777777" w:rsidR="002117B2" w:rsidRPr="00E50FE7" w:rsidRDefault="002117B2">
            <w:pPr>
              <w:spacing w:after="0"/>
              <w:ind w:left="2" w:right="2"/>
              <w:rPr>
                <w:sz w:val="10"/>
                <w:szCs w:val="10"/>
              </w:rPr>
            </w:pPr>
          </w:p>
        </w:tc>
        <w:tc>
          <w:tcPr>
            <w:tcW w:w="2074" w:type="dxa"/>
            <w:shd w:val="clear" w:color="auto" w:fill="BDD7EE"/>
            <w:tcMar>
              <w:top w:w="0" w:type="dxa"/>
              <w:left w:w="0" w:type="dxa"/>
              <w:bottom w:w="0" w:type="dxa"/>
              <w:right w:w="0" w:type="dxa"/>
            </w:tcMar>
            <w:vAlign w:val="center"/>
          </w:tcPr>
          <w:p w14:paraId="3A8E27BC" w14:textId="77777777" w:rsidR="002117B2" w:rsidRPr="00E50FE7" w:rsidRDefault="002117B2">
            <w:pPr>
              <w:spacing w:after="0"/>
              <w:ind w:left="2" w:right="2"/>
              <w:rPr>
                <w:sz w:val="10"/>
                <w:szCs w:val="10"/>
              </w:rPr>
            </w:pPr>
          </w:p>
        </w:tc>
        <w:tc>
          <w:tcPr>
            <w:tcW w:w="283" w:type="dxa"/>
            <w:tcBorders>
              <w:right w:val="single" w:sz="8" w:space="0" w:color="000000"/>
            </w:tcBorders>
            <w:shd w:val="clear" w:color="auto" w:fill="BDD7EE"/>
            <w:tcMar>
              <w:top w:w="0" w:type="dxa"/>
              <w:left w:w="0" w:type="dxa"/>
              <w:bottom w:w="0" w:type="dxa"/>
              <w:right w:w="0" w:type="dxa"/>
            </w:tcMar>
            <w:vAlign w:val="center"/>
          </w:tcPr>
          <w:p w14:paraId="7A973674" w14:textId="77777777" w:rsidR="002117B2" w:rsidRPr="00E50FE7" w:rsidRDefault="002117B2">
            <w:pPr>
              <w:spacing w:after="0"/>
              <w:ind w:left="2" w:right="2"/>
              <w:rPr>
                <w:sz w:val="10"/>
                <w:szCs w:val="10"/>
              </w:rPr>
            </w:pPr>
          </w:p>
        </w:tc>
      </w:tr>
      <w:tr w:rsidR="002117B2" w14:paraId="56C03AB9"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37556AB"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678AA78C"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D4AA65C" w14:textId="77777777" w:rsidR="002117B2" w:rsidRDefault="00616284">
            <w:pPr>
              <w:spacing w:after="0"/>
              <w:ind w:left="2" w:right="2"/>
              <w:jc w:val="center"/>
            </w:pPr>
            <w:r>
              <w:rPr>
                <w:rFonts w:ascii="Calibri" w:eastAsia="Calibri" w:hAnsi="Calibri" w:cs="Calibri"/>
                <w:b/>
                <w:color w:val="111111"/>
                <w:sz w:val="18"/>
                <w:szCs w:val="18"/>
              </w:rPr>
              <w:t>Difference between Original Estimate and Technical Correction (kt)</w:t>
            </w:r>
          </w:p>
        </w:tc>
        <w:tc>
          <w:tcPr>
            <w:tcW w:w="2074"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3DD04F8" w14:textId="77777777" w:rsidR="002117B2" w:rsidRDefault="00616284">
            <w:pPr>
              <w:spacing w:after="0"/>
              <w:ind w:left="2" w:right="2"/>
              <w:jc w:val="center"/>
            </w:pPr>
            <w:r>
              <w:rPr>
                <w:rFonts w:ascii="Calibri" w:eastAsia="Calibri" w:hAnsi="Calibri" w:cs="Calibri"/>
                <w:b/>
                <w:color w:val="111111"/>
                <w:sz w:val="18"/>
                <w:szCs w:val="18"/>
              </w:rPr>
              <w:t>Notes</w:t>
            </w:r>
          </w:p>
        </w:tc>
        <w:tc>
          <w:tcPr>
            <w:tcW w:w="283" w:type="dxa"/>
            <w:tcBorders>
              <w:right w:val="single" w:sz="8" w:space="0" w:color="000000"/>
            </w:tcBorders>
            <w:shd w:val="clear" w:color="auto" w:fill="BDD7EE"/>
            <w:tcMar>
              <w:top w:w="0" w:type="dxa"/>
              <w:left w:w="0" w:type="dxa"/>
              <w:bottom w:w="0" w:type="dxa"/>
              <w:right w:w="0" w:type="dxa"/>
            </w:tcMar>
            <w:vAlign w:val="center"/>
          </w:tcPr>
          <w:p w14:paraId="11146701" w14:textId="77777777" w:rsidR="002117B2" w:rsidRDefault="002117B2">
            <w:pPr>
              <w:spacing w:after="0"/>
              <w:ind w:left="2" w:right="2"/>
              <w:jc w:val="center"/>
            </w:pPr>
          </w:p>
        </w:tc>
      </w:tr>
      <w:tr w:rsidR="002117B2" w14:paraId="5E0C838F"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799AF3D"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DE47D71"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1AD406D" w14:textId="1077B1E2"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E8D7068"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31E4BAE" w14:textId="6FD5DF78"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C4A1C78" w14:textId="3036361E"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232DB4C" w14:textId="365DD3B1"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2074"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413B2D3" w14:textId="77777777" w:rsidR="002117B2" w:rsidRDefault="002117B2">
            <w:pPr>
              <w:spacing w:after="0"/>
              <w:ind w:left="2" w:right="2"/>
              <w:jc w:val="center"/>
            </w:pPr>
          </w:p>
        </w:tc>
        <w:tc>
          <w:tcPr>
            <w:tcW w:w="283" w:type="dxa"/>
            <w:tcBorders>
              <w:right w:val="single" w:sz="8" w:space="0" w:color="000000"/>
            </w:tcBorders>
            <w:shd w:val="clear" w:color="auto" w:fill="BDD7EE"/>
            <w:tcMar>
              <w:top w:w="0" w:type="dxa"/>
              <w:left w:w="0" w:type="dxa"/>
              <w:bottom w:w="0" w:type="dxa"/>
              <w:right w:w="0" w:type="dxa"/>
            </w:tcMar>
            <w:vAlign w:val="center"/>
          </w:tcPr>
          <w:p w14:paraId="42C015AE" w14:textId="77777777" w:rsidR="002117B2" w:rsidRDefault="002117B2">
            <w:pPr>
              <w:spacing w:after="0"/>
              <w:ind w:left="2" w:right="2"/>
              <w:jc w:val="center"/>
            </w:pPr>
          </w:p>
        </w:tc>
      </w:tr>
      <w:tr w:rsidR="002117B2" w14:paraId="0D46182F"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11FEC81"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0C0C563"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614D7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E5BAA7" w14:textId="77777777" w:rsidR="002117B2" w:rsidRDefault="00616284">
            <w:pPr>
              <w:spacing w:after="0"/>
              <w:ind w:left="2" w:right="2"/>
            </w:pPr>
            <w:r>
              <w:rPr>
                <w:rFonts w:ascii="Calibri" w:eastAsia="Calibri" w:hAnsi="Calibri" w:cs="Calibri"/>
                <w:color w:val="111111"/>
                <w:sz w:val="18"/>
                <w:szCs w:val="18"/>
              </w:rPr>
              <w:t>-1.433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366C2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DF61E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BB463C"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8266E7"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7BB2968A" w14:textId="77777777" w:rsidR="002117B2" w:rsidRDefault="002117B2">
            <w:pPr>
              <w:spacing w:after="0"/>
              <w:ind w:left="2" w:right="2"/>
            </w:pPr>
          </w:p>
        </w:tc>
      </w:tr>
      <w:tr w:rsidR="002117B2" w14:paraId="4968EE90"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51A73DA"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2DB558C"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6DD68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CB6D22" w14:textId="77777777" w:rsidR="002117B2" w:rsidRDefault="00616284">
            <w:pPr>
              <w:spacing w:after="0"/>
              <w:ind w:left="2" w:right="2"/>
            </w:pPr>
            <w:r>
              <w:rPr>
                <w:rFonts w:ascii="Calibri" w:eastAsia="Calibri" w:hAnsi="Calibri" w:cs="Calibri"/>
                <w:color w:val="111111"/>
                <w:sz w:val="18"/>
                <w:szCs w:val="18"/>
              </w:rPr>
              <w:t>-1.390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26696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A642C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5D76A9"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9DF01C"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6D113D48" w14:textId="77777777" w:rsidR="002117B2" w:rsidRDefault="002117B2">
            <w:pPr>
              <w:spacing w:after="0"/>
              <w:ind w:left="2" w:right="2"/>
            </w:pPr>
          </w:p>
        </w:tc>
      </w:tr>
      <w:tr w:rsidR="002117B2" w14:paraId="3154FBA8"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994EA7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0F2F2FA"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60395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837965" w14:textId="77777777" w:rsidR="002117B2" w:rsidRDefault="00616284">
            <w:pPr>
              <w:spacing w:after="0"/>
              <w:ind w:left="2" w:right="2"/>
            </w:pPr>
            <w:r>
              <w:rPr>
                <w:rFonts w:ascii="Calibri" w:eastAsia="Calibri" w:hAnsi="Calibri" w:cs="Calibri"/>
                <w:color w:val="111111"/>
                <w:sz w:val="18"/>
                <w:szCs w:val="18"/>
              </w:rPr>
              <w:t>-0.707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D4EE8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CFC54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CF0D07"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33AB26"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6E398FF7" w14:textId="77777777" w:rsidR="002117B2" w:rsidRDefault="002117B2">
            <w:pPr>
              <w:spacing w:after="0"/>
              <w:ind w:left="2" w:right="2"/>
            </w:pPr>
          </w:p>
        </w:tc>
      </w:tr>
      <w:tr w:rsidR="002117B2" w14:paraId="29C4C793"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4471880"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683B061"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1256D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99B178" w14:textId="77777777" w:rsidR="002117B2" w:rsidRDefault="00616284">
            <w:pPr>
              <w:spacing w:after="0"/>
              <w:ind w:left="2" w:right="2"/>
            </w:pPr>
            <w:r>
              <w:rPr>
                <w:rFonts w:ascii="Calibri" w:eastAsia="Calibri" w:hAnsi="Calibri" w:cs="Calibri"/>
                <w:color w:val="111111"/>
                <w:sz w:val="18"/>
                <w:szCs w:val="18"/>
              </w:rPr>
              <w:t>-0.318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3A3A1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D4253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A41E59"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2D09BB"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44DB3D20" w14:textId="77777777" w:rsidR="002117B2" w:rsidRDefault="002117B2">
            <w:pPr>
              <w:spacing w:after="0"/>
              <w:ind w:left="2" w:right="2"/>
            </w:pPr>
          </w:p>
        </w:tc>
      </w:tr>
      <w:tr w:rsidR="002117B2" w14:paraId="2A9A9F14"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D2908CC"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A43755E"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FA695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A838C6" w14:textId="77777777" w:rsidR="002117B2" w:rsidRDefault="00616284">
            <w:pPr>
              <w:spacing w:after="0"/>
              <w:ind w:left="2" w:right="2"/>
            </w:pPr>
            <w:r>
              <w:rPr>
                <w:rFonts w:ascii="Calibri" w:eastAsia="Calibri" w:hAnsi="Calibri" w:cs="Calibri"/>
                <w:color w:val="111111"/>
                <w:sz w:val="18"/>
                <w:szCs w:val="18"/>
              </w:rPr>
              <w:t>-0.134</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96DBA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7623D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4A889C"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67B2C4"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3D421133" w14:textId="77777777" w:rsidR="002117B2" w:rsidRDefault="002117B2">
            <w:pPr>
              <w:spacing w:after="0"/>
              <w:ind w:left="2" w:right="2"/>
            </w:pPr>
          </w:p>
        </w:tc>
      </w:tr>
      <w:tr w:rsidR="002117B2" w14:paraId="7BA8C961"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8D59C09"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5CFA99D"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AAA33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430FED" w14:textId="77777777" w:rsidR="002117B2" w:rsidRDefault="00616284">
            <w:pPr>
              <w:spacing w:after="0"/>
              <w:ind w:left="2" w:right="2"/>
            </w:pPr>
            <w:r>
              <w:rPr>
                <w:rFonts w:ascii="Calibri" w:eastAsia="Calibri" w:hAnsi="Calibri" w:cs="Calibri"/>
                <w:color w:val="111111"/>
                <w:sz w:val="18"/>
                <w:szCs w:val="18"/>
              </w:rPr>
              <w:t>-0.213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C6C65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B50B1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7776BA"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12A3B3"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2A1ED39C" w14:textId="77777777" w:rsidR="002117B2" w:rsidRDefault="002117B2">
            <w:pPr>
              <w:spacing w:after="0"/>
              <w:ind w:left="2" w:right="2"/>
            </w:pPr>
          </w:p>
        </w:tc>
      </w:tr>
      <w:tr w:rsidR="002117B2" w14:paraId="1F2C0E76" w14:textId="77777777" w:rsidTr="00E50FE7">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54299E8"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371722F0" w14:textId="77777777" w:rsidR="002117B2" w:rsidRPr="00E50FE7" w:rsidRDefault="002117B2">
            <w:pPr>
              <w:spacing w:after="0"/>
              <w:ind w:left="2" w:right="2"/>
              <w:rPr>
                <w:sz w:val="10"/>
                <w:szCs w:val="1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0DA419DF" w14:textId="77777777" w:rsidR="002117B2" w:rsidRPr="00E50FE7" w:rsidRDefault="002117B2">
            <w:pPr>
              <w:spacing w:after="0"/>
              <w:ind w:left="2" w:right="2"/>
              <w:rPr>
                <w:sz w:val="10"/>
                <w:szCs w:val="1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6B813AD4" w14:textId="77777777" w:rsidR="002117B2" w:rsidRPr="00E50FE7" w:rsidRDefault="002117B2">
            <w:pPr>
              <w:spacing w:after="0"/>
              <w:ind w:left="2" w:right="2"/>
              <w:rPr>
                <w:sz w:val="10"/>
                <w:szCs w:val="1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57BAC768" w14:textId="77777777" w:rsidR="002117B2" w:rsidRPr="00E50FE7" w:rsidRDefault="002117B2">
            <w:pPr>
              <w:spacing w:after="0"/>
              <w:ind w:left="2" w:right="2"/>
              <w:rPr>
                <w:sz w:val="10"/>
                <w:szCs w:val="1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3380CC4E" w14:textId="77777777" w:rsidR="002117B2" w:rsidRPr="00E50FE7" w:rsidRDefault="002117B2">
            <w:pPr>
              <w:spacing w:after="0"/>
              <w:ind w:left="2" w:right="2"/>
              <w:rPr>
                <w:sz w:val="10"/>
                <w:szCs w:val="1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6F2A98E9" w14:textId="77777777" w:rsidR="002117B2" w:rsidRPr="00E50FE7" w:rsidRDefault="002117B2">
            <w:pPr>
              <w:spacing w:after="0"/>
              <w:ind w:left="2" w:right="2"/>
              <w:rPr>
                <w:sz w:val="10"/>
                <w:szCs w:val="10"/>
              </w:rPr>
            </w:pPr>
          </w:p>
        </w:tc>
        <w:tc>
          <w:tcPr>
            <w:tcW w:w="2074" w:type="dxa"/>
            <w:tcBorders>
              <w:bottom w:val="single" w:sz="8" w:space="0" w:color="000000"/>
            </w:tcBorders>
            <w:shd w:val="clear" w:color="auto" w:fill="BDD7EE"/>
            <w:tcMar>
              <w:top w:w="0" w:type="dxa"/>
              <w:left w:w="0" w:type="dxa"/>
              <w:bottom w:w="0" w:type="dxa"/>
              <w:right w:w="0" w:type="dxa"/>
            </w:tcMar>
            <w:vAlign w:val="center"/>
          </w:tcPr>
          <w:p w14:paraId="503914E9" w14:textId="77777777" w:rsidR="002117B2" w:rsidRPr="00E50FE7" w:rsidRDefault="002117B2">
            <w:pPr>
              <w:spacing w:after="0"/>
              <w:ind w:left="2" w:right="2"/>
              <w:rPr>
                <w:sz w:val="10"/>
                <w:szCs w:val="10"/>
              </w:rPr>
            </w:pPr>
          </w:p>
        </w:tc>
        <w:tc>
          <w:tcPr>
            <w:tcW w:w="283"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38E408A2" w14:textId="77777777" w:rsidR="002117B2" w:rsidRPr="00E50FE7" w:rsidRDefault="002117B2">
            <w:pPr>
              <w:spacing w:after="0"/>
              <w:ind w:left="2" w:right="2"/>
              <w:rPr>
                <w:sz w:val="10"/>
                <w:szCs w:val="10"/>
              </w:rPr>
            </w:pPr>
          </w:p>
        </w:tc>
      </w:tr>
    </w:tbl>
    <w:p w14:paraId="78339603" w14:textId="77777777" w:rsidR="002117B2" w:rsidRDefault="00616284">
      <w:r>
        <w:br w:type="page"/>
      </w:r>
    </w:p>
    <w:tbl>
      <w:tblPr>
        <w:tblW w:w="9360" w:type="dxa"/>
        <w:jc w:val="center"/>
        <w:tblLayout w:type="fixed"/>
        <w:tblLook w:val="0420" w:firstRow="1" w:lastRow="0" w:firstColumn="0" w:lastColumn="0" w:noHBand="0" w:noVBand="1"/>
      </w:tblPr>
      <w:tblGrid>
        <w:gridCol w:w="217"/>
        <w:gridCol w:w="1440"/>
        <w:gridCol w:w="1123"/>
        <w:gridCol w:w="1123"/>
        <w:gridCol w:w="1123"/>
        <w:gridCol w:w="1123"/>
        <w:gridCol w:w="1123"/>
        <w:gridCol w:w="1872"/>
        <w:gridCol w:w="216"/>
      </w:tblGrid>
      <w:tr w:rsidR="002117B2" w14:paraId="007255E3"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E0EE66D" w14:textId="77777777" w:rsidR="002117B2" w:rsidRDefault="00616284">
            <w:pPr>
              <w:spacing w:after="0"/>
              <w:ind w:left="2" w:right="2"/>
              <w:jc w:val="center"/>
            </w:pPr>
            <w:r>
              <w:rPr>
                <w:rFonts w:ascii="Calibri" w:eastAsia="Calibri" w:hAnsi="Calibri" w:cs="Calibri"/>
                <w:b/>
                <w:color w:val="FFFFFF"/>
                <w:sz w:val="18"/>
                <w:szCs w:val="18"/>
              </w:rPr>
              <w:t>1</w:t>
            </w:r>
          </w:p>
        </w:tc>
        <w:tc>
          <w:tcPr>
            <w:tcW w:w="1440" w:type="dxa"/>
            <w:tcBorders>
              <w:top w:val="single" w:sz="8" w:space="0" w:color="000000"/>
            </w:tcBorders>
            <w:shd w:val="clear" w:color="auto" w:fill="BDD7EE"/>
            <w:tcMar>
              <w:top w:w="0" w:type="dxa"/>
              <w:left w:w="0" w:type="dxa"/>
              <w:bottom w:w="0" w:type="dxa"/>
              <w:right w:w="0" w:type="dxa"/>
            </w:tcMar>
            <w:vAlign w:val="center"/>
          </w:tcPr>
          <w:p w14:paraId="4CAACED2"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4FCD256E"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0C21D052"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084187B9"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550084F2"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0FF90F5C" w14:textId="77777777" w:rsidR="002117B2" w:rsidRDefault="002117B2">
            <w:pPr>
              <w:spacing w:after="0"/>
              <w:ind w:left="2" w:right="2"/>
            </w:pPr>
          </w:p>
        </w:tc>
        <w:tc>
          <w:tcPr>
            <w:tcW w:w="1872" w:type="dxa"/>
            <w:tcBorders>
              <w:top w:val="single" w:sz="8" w:space="0" w:color="000000"/>
            </w:tcBorders>
            <w:shd w:val="clear" w:color="auto" w:fill="BDD7EE"/>
            <w:tcMar>
              <w:top w:w="0" w:type="dxa"/>
              <w:left w:w="0" w:type="dxa"/>
              <w:bottom w:w="0" w:type="dxa"/>
              <w:right w:w="0" w:type="dxa"/>
            </w:tcMar>
            <w:vAlign w:val="center"/>
          </w:tcPr>
          <w:p w14:paraId="60CEEEEC" w14:textId="77777777" w:rsidR="002117B2" w:rsidRDefault="002117B2">
            <w:pPr>
              <w:spacing w:after="0"/>
              <w:ind w:left="2" w:right="2"/>
            </w:pPr>
          </w:p>
        </w:tc>
        <w:tc>
          <w:tcPr>
            <w:tcW w:w="216" w:type="dxa"/>
            <w:tcBorders>
              <w:top w:val="single" w:sz="8" w:space="0" w:color="000000"/>
              <w:right w:val="single" w:sz="8" w:space="0" w:color="000000"/>
            </w:tcBorders>
            <w:shd w:val="clear" w:color="auto" w:fill="BDD7EE"/>
            <w:tcMar>
              <w:top w:w="0" w:type="dxa"/>
              <w:left w:w="0" w:type="dxa"/>
              <w:bottom w:w="0" w:type="dxa"/>
              <w:right w:w="0" w:type="dxa"/>
            </w:tcMar>
            <w:vAlign w:val="center"/>
          </w:tcPr>
          <w:p w14:paraId="7DB0BDE8" w14:textId="77777777" w:rsidR="002117B2" w:rsidRDefault="002117B2">
            <w:pPr>
              <w:spacing w:after="0"/>
              <w:ind w:left="2" w:right="2"/>
            </w:pPr>
          </w:p>
        </w:tc>
      </w:tr>
      <w:tr w:rsidR="002117B2" w14:paraId="083B568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D558875"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560C3AE" w14:textId="77777777" w:rsidR="002117B2" w:rsidRDefault="00616284">
            <w:pPr>
              <w:spacing w:after="0"/>
              <w:ind w:left="2" w:right="2"/>
            </w:pPr>
            <w:r>
              <w:rPr>
                <w:rFonts w:ascii="Calibri" w:eastAsia="Calibri" w:hAnsi="Calibri" w:cs="Calibri"/>
                <w:color w:val="111111"/>
                <w:sz w:val="18"/>
                <w:szCs w:val="18"/>
              </w:rPr>
              <w:t>EMRT ID:</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3F9A9D" w14:textId="77777777" w:rsidR="002117B2" w:rsidRDefault="00616284">
            <w:pPr>
              <w:spacing w:after="0"/>
              <w:ind w:left="2" w:right="2"/>
            </w:pPr>
            <w:r>
              <w:rPr>
                <w:rFonts w:ascii="Calibri" w:eastAsia="Calibri" w:hAnsi="Calibri" w:cs="Calibri"/>
                <w:color w:val="111111"/>
                <w:sz w:val="18"/>
                <w:szCs w:val="18"/>
              </w:rPr>
              <w:t>LT-1A3bv-2017-0001</w:t>
            </w:r>
          </w:p>
        </w:tc>
        <w:tc>
          <w:tcPr>
            <w:tcW w:w="216" w:type="dxa"/>
            <w:tcBorders>
              <w:right w:val="single" w:sz="8" w:space="0" w:color="000000"/>
            </w:tcBorders>
            <w:shd w:val="clear" w:color="auto" w:fill="BDD7EE"/>
            <w:tcMar>
              <w:top w:w="0" w:type="dxa"/>
              <w:left w:w="0" w:type="dxa"/>
              <w:bottom w:w="0" w:type="dxa"/>
              <w:right w:w="0" w:type="dxa"/>
            </w:tcMar>
            <w:vAlign w:val="center"/>
          </w:tcPr>
          <w:p w14:paraId="6F1B5FE9" w14:textId="77777777" w:rsidR="002117B2" w:rsidRDefault="002117B2">
            <w:pPr>
              <w:spacing w:after="0"/>
              <w:ind w:left="2" w:right="2"/>
            </w:pPr>
          </w:p>
        </w:tc>
      </w:tr>
      <w:tr w:rsidR="002117B2" w14:paraId="6F4EBAF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773F7B9"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6F35D41" w14:textId="77777777" w:rsidR="002117B2" w:rsidRDefault="00616284">
            <w:pPr>
              <w:spacing w:after="0"/>
              <w:ind w:left="2" w:right="2"/>
            </w:pPr>
            <w:r>
              <w:rPr>
                <w:rFonts w:ascii="Calibri" w:eastAsia="Calibri" w:hAnsi="Calibri" w:cs="Calibri"/>
                <w:color w:val="111111"/>
                <w:sz w:val="18"/>
                <w:szCs w:val="18"/>
              </w:rPr>
              <w:t>EMRT URL:</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4D79C8" w14:textId="77777777" w:rsidR="002117B2" w:rsidRDefault="00616284">
            <w:pPr>
              <w:spacing w:after="0"/>
              <w:ind w:left="2" w:right="2"/>
            </w:pPr>
            <w:r>
              <w:rPr>
                <w:rFonts w:ascii="Calibri" w:eastAsia="Calibri" w:hAnsi="Calibri" w:cs="Calibri"/>
                <w:color w:val="111111"/>
                <w:sz w:val="18"/>
                <w:szCs w:val="18"/>
              </w:rPr>
              <w:t>https://emrt-necd.eionet.europa.eu/2020/LT-1A3bv-2017-0001</w:t>
            </w:r>
          </w:p>
        </w:tc>
        <w:tc>
          <w:tcPr>
            <w:tcW w:w="216" w:type="dxa"/>
            <w:tcBorders>
              <w:right w:val="single" w:sz="8" w:space="0" w:color="000000"/>
            </w:tcBorders>
            <w:shd w:val="clear" w:color="auto" w:fill="BDD7EE"/>
            <w:tcMar>
              <w:top w:w="0" w:type="dxa"/>
              <w:left w:w="0" w:type="dxa"/>
              <w:bottom w:w="0" w:type="dxa"/>
              <w:right w:w="0" w:type="dxa"/>
            </w:tcMar>
            <w:vAlign w:val="center"/>
          </w:tcPr>
          <w:p w14:paraId="3445A81A" w14:textId="77777777" w:rsidR="002117B2" w:rsidRDefault="002117B2">
            <w:pPr>
              <w:spacing w:after="0"/>
              <w:ind w:left="2" w:right="2"/>
            </w:pPr>
          </w:p>
        </w:tc>
      </w:tr>
      <w:tr w:rsidR="002117B2" w14:paraId="6557D35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A68A267"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B2B1445" w14:textId="77777777" w:rsidR="002117B2" w:rsidRDefault="00616284">
            <w:pPr>
              <w:spacing w:after="0"/>
              <w:ind w:left="2" w:right="2"/>
            </w:pPr>
            <w:r>
              <w:rPr>
                <w:rFonts w:ascii="Calibri" w:eastAsia="Calibri" w:hAnsi="Calibri" w:cs="Calibri"/>
                <w:color w:val="111111"/>
                <w:sz w:val="18"/>
                <w:szCs w:val="18"/>
              </w:rPr>
              <w:t>Member State:</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B58684" w14:textId="77777777" w:rsidR="002117B2" w:rsidRDefault="00616284">
            <w:pPr>
              <w:spacing w:after="0"/>
              <w:ind w:left="2" w:right="2"/>
            </w:pPr>
            <w:r>
              <w:rPr>
                <w:rFonts w:ascii="Calibri" w:eastAsia="Calibri" w:hAnsi="Calibri" w:cs="Calibri"/>
                <w:color w:val="111111"/>
                <w:sz w:val="18"/>
                <w:szCs w:val="18"/>
              </w:rPr>
              <w:t>Lithuania</w:t>
            </w:r>
          </w:p>
        </w:tc>
        <w:tc>
          <w:tcPr>
            <w:tcW w:w="216" w:type="dxa"/>
            <w:tcBorders>
              <w:right w:val="single" w:sz="8" w:space="0" w:color="000000"/>
            </w:tcBorders>
            <w:shd w:val="clear" w:color="auto" w:fill="BDD7EE"/>
            <w:tcMar>
              <w:top w:w="0" w:type="dxa"/>
              <w:left w:w="0" w:type="dxa"/>
              <w:bottom w:w="0" w:type="dxa"/>
              <w:right w:w="0" w:type="dxa"/>
            </w:tcMar>
            <w:vAlign w:val="center"/>
          </w:tcPr>
          <w:p w14:paraId="34F63B90" w14:textId="77777777" w:rsidR="002117B2" w:rsidRDefault="002117B2">
            <w:pPr>
              <w:spacing w:after="0"/>
              <w:ind w:left="2" w:right="2"/>
            </w:pPr>
          </w:p>
        </w:tc>
      </w:tr>
      <w:tr w:rsidR="002117B2" w14:paraId="3DD6ED2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55363C7"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B27CBD2" w14:textId="77777777" w:rsidR="002117B2" w:rsidRDefault="00616284">
            <w:pPr>
              <w:spacing w:after="0"/>
              <w:ind w:left="2" w:right="2"/>
            </w:pPr>
            <w:r>
              <w:rPr>
                <w:rFonts w:ascii="Calibri" w:eastAsia="Calibri" w:hAnsi="Calibri" w:cs="Calibri"/>
                <w:color w:val="111111"/>
                <w:sz w:val="18"/>
                <w:szCs w:val="18"/>
              </w:rPr>
              <w:t>Sector: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C2FAF3" w14:textId="5CF03870" w:rsidR="002117B2" w:rsidRDefault="00616284">
            <w:pPr>
              <w:spacing w:after="0"/>
              <w:ind w:left="2" w:right="2"/>
            </w:pPr>
            <w:r>
              <w:rPr>
                <w:rFonts w:ascii="Calibri" w:eastAsia="Calibri" w:hAnsi="Calibri" w:cs="Calibri"/>
                <w:color w:val="111111"/>
                <w:sz w:val="18"/>
                <w:szCs w:val="18"/>
              </w:rPr>
              <w:t xml:space="preserve">1A3bv Road </w:t>
            </w:r>
            <w:r w:rsidR="00CD02E8">
              <w:rPr>
                <w:rFonts w:ascii="Calibri" w:eastAsia="Calibri" w:hAnsi="Calibri" w:cs="Calibri"/>
                <w:color w:val="111111"/>
                <w:sz w:val="18"/>
                <w:szCs w:val="18"/>
              </w:rPr>
              <w:t>T</w:t>
            </w:r>
            <w:r>
              <w:rPr>
                <w:rFonts w:ascii="Calibri" w:eastAsia="Calibri" w:hAnsi="Calibri" w:cs="Calibri"/>
                <w:color w:val="111111"/>
                <w:sz w:val="18"/>
                <w:szCs w:val="18"/>
              </w:rPr>
              <w:t xml:space="preserve">ransport: Gasoline </w:t>
            </w:r>
            <w:r w:rsidR="00CD02E8">
              <w:rPr>
                <w:rFonts w:ascii="Calibri" w:eastAsia="Calibri" w:hAnsi="Calibri" w:cs="Calibri"/>
                <w:color w:val="111111"/>
                <w:sz w:val="18"/>
                <w:szCs w:val="18"/>
              </w:rPr>
              <w:t>E</w:t>
            </w:r>
            <w:r>
              <w:rPr>
                <w:rFonts w:ascii="Calibri" w:eastAsia="Calibri" w:hAnsi="Calibri" w:cs="Calibri"/>
                <w:color w:val="111111"/>
                <w:sz w:val="18"/>
                <w:szCs w:val="18"/>
              </w:rPr>
              <w:t>vaporation</w:t>
            </w:r>
          </w:p>
        </w:tc>
        <w:tc>
          <w:tcPr>
            <w:tcW w:w="216" w:type="dxa"/>
            <w:tcBorders>
              <w:right w:val="single" w:sz="8" w:space="0" w:color="000000"/>
            </w:tcBorders>
            <w:shd w:val="clear" w:color="auto" w:fill="BDD7EE"/>
            <w:tcMar>
              <w:top w:w="0" w:type="dxa"/>
              <w:left w:w="0" w:type="dxa"/>
              <w:bottom w:w="0" w:type="dxa"/>
              <w:right w:w="0" w:type="dxa"/>
            </w:tcMar>
            <w:vAlign w:val="center"/>
          </w:tcPr>
          <w:p w14:paraId="332216F1" w14:textId="77777777" w:rsidR="002117B2" w:rsidRDefault="002117B2">
            <w:pPr>
              <w:spacing w:after="0"/>
              <w:ind w:left="2" w:right="2"/>
            </w:pPr>
          </w:p>
        </w:tc>
      </w:tr>
      <w:tr w:rsidR="002117B2" w14:paraId="79E03CC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9549D39"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E208C6B" w14:textId="77777777" w:rsidR="002117B2" w:rsidRDefault="00616284">
            <w:pPr>
              <w:spacing w:after="0"/>
              <w:ind w:left="2" w:right="2"/>
            </w:pPr>
            <w:r>
              <w:rPr>
                <w:rFonts w:ascii="Calibri" w:eastAsia="Calibri" w:hAnsi="Calibri" w:cs="Calibri"/>
                <w:color w:val="111111"/>
                <w:sz w:val="18"/>
                <w:szCs w:val="18"/>
              </w:rPr>
              <w:t>Pollutants:</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B7B054" w14:textId="77777777" w:rsidR="002117B2" w:rsidRDefault="00616284">
            <w:pPr>
              <w:spacing w:after="0"/>
              <w:ind w:left="2" w:right="2"/>
            </w:pPr>
            <w:r>
              <w:rPr>
                <w:rFonts w:ascii="Calibri" w:eastAsia="Calibri" w:hAnsi="Calibri" w:cs="Calibri"/>
                <w:color w:val="111111"/>
                <w:sz w:val="18"/>
                <w:szCs w:val="18"/>
              </w:rPr>
              <w:t>NMVOC</w:t>
            </w:r>
          </w:p>
        </w:tc>
        <w:tc>
          <w:tcPr>
            <w:tcW w:w="216" w:type="dxa"/>
            <w:tcBorders>
              <w:right w:val="single" w:sz="8" w:space="0" w:color="000000"/>
            </w:tcBorders>
            <w:shd w:val="clear" w:color="auto" w:fill="BDD7EE"/>
            <w:tcMar>
              <w:top w:w="0" w:type="dxa"/>
              <w:left w:w="0" w:type="dxa"/>
              <w:bottom w:w="0" w:type="dxa"/>
              <w:right w:w="0" w:type="dxa"/>
            </w:tcMar>
            <w:vAlign w:val="center"/>
          </w:tcPr>
          <w:p w14:paraId="7EF4369E" w14:textId="77777777" w:rsidR="002117B2" w:rsidRDefault="002117B2">
            <w:pPr>
              <w:spacing w:after="0"/>
              <w:ind w:left="2" w:right="2"/>
            </w:pPr>
          </w:p>
        </w:tc>
      </w:tr>
      <w:tr w:rsidR="002117B2" w14:paraId="5D49E19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A88153A"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1A32CCF" w14:textId="77777777" w:rsidR="002117B2" w:rsidRDefault="00616284">
            <w:pPr>
              <w:spacing w:after="0"/>
              <w:ind w:left="2" w:right="2"/>
            </w:pPr>
            <w:r>
              <w:rPr>
                <w:rFonts w:ascii="Calibri" w:eastAsia="Calibri" w:hAnsi="Calibri" w:cs="Calibri"/>
                <w:color w:val="111111"/>
                <w:sz w:val="18"/>
                <w:szCs w:val="18"/>
              </w:rPr>
              <w:t>Completed by (SE):</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FAD9C4" w14:textId="77777777" w:rsidR="002117B2" w:rsidRDefault="00616284">
            <w:pPr>
              <w:spacing w:after="0"/>
              <w:ind w:left="2" w:right="2"/>
            </w:pPr>
            <w:r>
              <w:rPr>
                <w:rFonts w:ascii="Calibri" w:eastAsia="Calibri" w:hAnsi="Calibri" w:cs="Calibri"/>
                <w:color w:val="111111"/>
                <w:sz w:val="18"/>
                <w:szCs w:val="18"/>
              </w:rPr>
              <w:t>Matina Kastori</w:t>
            </w:r>
          </w:p>
        </w:tc>
        <w:tc>
          <w:tcPr>
            <w:tcW w:w="216" w:type="dxa"/>
            <w:tcBorders>
              <w:right w:val="single" w:sz="8" w:space="0" w:color="000000"/>
            </w:tcBorders>
            <w:shd w:val="clear" w:color="auto" w:fill="BDD7EE"/>
            <w:tcMar>
              <w:top w:w="0" w:type="dxa"/>
              <w:left w:w="0" w:type="dxa"/>
              <w:bottom w:w="0" w:type="dxa"/>
              <w:right w:w="0" w:type="dxa"/>
            </w:tcMar>
            <w:vAlign w:val="center"/>
          </w:tcPr>
          <w:p w14:paraId="51810281" w14:textId="77777777" w:rsidR="002117B2" w:rsidRDefault="002117B2">
            <w:pPr>
              <w:spacing w:after="0"/>
              <w:ind w:left="2" w:right="2"/>
            </w:pPr>
          </w:p>
        </w:tc>
      </w:tr>
      <w:tr w:rsidR="002117B2" w14:paraId="5E9E935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5FFF58"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BD3DA96" w14:textId="77777777" w:rsidR="002117B2" w:rsidRDefault="00616284">
            <w:pPr>
              <w:spacing w:after="0"/>
              <w:ind w:left="2" w:right="2"/>
            </w:pPr>
            <w:r>
              <w:rPr>
                <w:rFonts w:ascii="Calibri" w:eastAsia="Calibri" w:hAnsi="Calibri" w:cs="Calibri"/>
                <w:color w:val="111111"/>
                <w:sz w:val="18"/>
                <w:szCs w:val="18"/>
              </w:rPr>
              <w:t>Reviewed by (LR):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75A400" w14:textId="77777777" w:rsidR="002117B2" w:rsidRDefault="00616284">
            <w:pPr>
              <w:spacing w:after="0"/>
              <w:ind w:left="2" w:right="2"/>
            </w:pPr>
            <w:r>
              <w:rPr>
                <w:rFonts w:ascii="Calibri" w:eastAsia="Calibri" w:hAnsi="Calibri" w:cs="Calibri"/>
                <w:color w:val="111111"/>
                <w:sz w:val="18"/>
                <w:szCs w:val="18"/>
              </w:rPr>
              <w:t>Justin Goodwin</w:t>
            </w:r>
          </w:p>
        </w:tc>
        <w:tc>
          <w:tcPr>
            <w:tcW w:w="216" w:type="dxa"/>
            <w:tcBorders>
              <w:right w:val="single" w:sz="8" w:space="0" w:color="000000"/>
            </w:tcBorders>
            <w:shd w:val="clear" w:color="auto" w:fill="BDD7EE"/>
            <w:tcMar>
              <w:top w:w="0" w:type="dxa"/>
              <w:left w:w="0" w:type="dxa"/>
              <w:bottom w:w="0" w:type="dxa"/>
              <w:right w:w="0" w:type="dxa"/>
            </w:tcMar>
            <w:vAlign w:val="center"/>
          </w:tcPr>
          <w:p w14:paraId="61218956" w14:textId="77777777" w:rsidR="002117B2" w:rsidRDefault="002117B2">
            <w:pPr>
              <w:spacing w:after="0"/>
              <w:ind w:left="2" w:right="2"/>
            </w:pPr>
          </w:p>
        </w:tc>
      </w:tr>
      <w:tr w:rsidR="002117B2" w14:paraId="28C7EAE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486538F"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0405337" w14:textId="77777777" w:rsidR="002117B2" w:rsidRDefault="00616284">
            <w:pPr>
              <w:spacing w:after="0"/>
              <w:ind w:left="2" w:right="2"/>
            </w:pPr>
            <w:r>
              <w:rPr>
                <w:rFonts w:ascii="Calibri" w:eastAsia="Calibri" w:hAnsi="Calibri" w:cs="Calibri"/>
                <w:color w:val="111111"/>
                <w:sz w:val="18"/>
                <w:szCs w:val="18"/>
              </w:rPr>
              <w:t>Reviewed by (Counterpart):</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C53CA6" w14:textId="77777777" w:rsidR="002117B2" w:rsidRDefault="00616284">
            <w:pPr>
              <w:spacing w:after="0"/>
              <w:ind w:left="2" w:right="2"/>
            </w:pPr>
            <w:r>
              <w:rPr>
                <w:rFonts w:ascii="Calibri" w:eastAsia="Calibri" w:hAnsi="Calibri" w:cs="Calibri"/>
                <w:color w:val="111111"/>
                <w:sz w:val="18"/>
                <w:szCs w:val="18"/>
              </w:rPr>
              <w:t>Jean-Marc André</w:t>
            </w:r>
          </w:p>
        </w:tc>
        <w:tc>
          <w:tcPr>
            <w:tcW w:w="216" w:type="dxa"/>
            <w:tcBorders>
              <w:right w:val="single" w:sz="8" w:space="0" w:color="000000"/>
            </w:tcBorders>
            <w:shd w:val="clear" w:color="auto" w:fill="BDD7EE"/>
            <w:tcMar>
              <w:top w:w="0" w:type="dxa"/>
              <w:left w:w="0" w:type="dxa"/>
              <w:bottom w:w="0" w:type="dxa"/>
              <w:right w:w="0" w:type="dxa"/>
            </w:tcMar>
            <w:vAlign w:val="center"/>
          </w:tcPr>
          <w:p w14:paraId="5FB473B6" w14:textId="77777777" w:rsidR="002117B2" w:rsidRDefault="002117B2">
            <w:pPr>
              <w:spacing w:after="0"/>
              <w:ind w:left="2" w:right="2"/>
            </w:pPr>
          </w:p>
        </w:tc>
      </w:tr>
      <w:tr w:rsidR="002117B2" w14:paraId="18BA8BD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88C6FD3"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EAAB071" w14:textId="77777777" w:rsidR="002117B2" w:rsidRDefault="00616284">
            <w:pPr>
              <w:spacing w:after="0"/>
              <w:ind w:left="2" w:right="2"/>
            </w:pPr>
            <w:r>
              <w:rPr>
                <w:rFonts w:ascii="Calibri" w:eastAsia="Calibri" w:hAnsi="Calibri" w:cs="Calibri"/>
                <w:color w:val="111111"/>
                <w:sz w:val="18"/>
                <w:szCs w:val="18"/>
              </w:rPr>
              <w:t>Reviewed by (Quality Controller):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3FC122" w14:textId="77777777" w:rsidR="002117B2" w:rsidRDefault="00616284">
            <w:pPr>
              <w:spacing w:after="0"/>
              <w:ind w:left="2" w:right="2"/>
            </w:pPr>
            <w:r>
              <w:rPr>
                <w:rFonts w:ascii="Calibri" w:eastAsia="Calibri" w:hAnsi="Calibri" w:cs="Calibri"/>
                <w:color w:val="111111"/>
                <w:sz w:val="18"/>
                <w:szCs w:val="18"/>
              </w:rPr>
              <w:t>Chris Dore</w:t>
            </w:r>
          </w:p>
        </w:tc>
        <w:tc>
          <w:tcPr>
            <w:tcW w:w="216" w:type="dxa"/>
            <w:tcBorders>
              <w:right w:val="single" w:sz="8" w:space="0" w:color="000000"/>
            </w:tcBorders>
            <w:shd w:val="clear" w:color="auto" w:fill="BDD7EE"/>
            <w:tcMar>
              <w:top w:w="0" w:type="dxa"/>
              <w:left w:w="0" w:type="dxa"/>
              <w:bottom w:w="0" w:type="dxa"/>
              <w:right w:w="0" w:type="dxa"/>
            </w:tcMar>
            <w:vAlign w:val="center"/>
          </w:tcPr>
          <w:p w14:paraId="09E10647" w14:textId="77777777" w:rsidR="002117B2" w:rsidRDefault="002117B2">
            <w:pPr>
              <w:spacing w:after="0"/>
              <w:ind w:left="2" w:right="2"/>
            </w:pPr>
          </w:p>
        </w:tc>
      </w:tr>
      <w:tr w:rsidR="002117B2" w14:paraId="7B45EB9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7946E5C"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245A876E"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400A4FCB"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66A3E780"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38F501A7"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2A4D2994"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6D40D84C"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6BB6CB07"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E97A947" w14:textId="77777777" w:rsidR="002117B2" w:rsidRDefault="002117B2">
            <w:pPr>
              <w:spacing w:after="0"/>
              <w:ind w:left="2" w:right="2"/>
            </w:pPr>
          </w:p>
        </w:tc>
      </w:tr>
      <w:tr w:rsidR="002117B2" w14:paraId="7221BA28"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46D2301"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9E4BB1A" w14:textId="77777777" w:rsidR="002117B2" w:rsidRDefault="00616284">
            <w:pPr>
              <w:spacing w:after="0"/>
              <w:ind w:left="2" w:right="2"/>
            </w:pPr>
            <w:r>
              <w:rPr>
                <w:rFonts w:ascii="Calibri" w:eastAsia="Calibri" w:hAnsi="Calibri" w:cs="Calibri"/>
                <w:color w:val="111111"/>
                <w:sz w:val="18"/>
                <w:szCs w:val="18"/>
              </w:rPr>
              <w:t>The underlying problem:</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EA90D6" w14:textId="77777777" w:rsidR="002117B2" w:rsidRDefault="00616284">
            <w:pPr>
              <w:spacing w:after="0"/>
              <w:ind w:left="2" w:right="2"/>
            </w:pPr>
            <w:r>
              <w:rPr>
                <w:rFonts w:ascii="Calibri" w:eastAsia="Calibri" w:hAnsi="Calibri" w:cs="Calibri"/>
                <w:color w:val="111111"/>
                <w:sz w:val="18"/>
                <w:szCs w:val="18"/>
              </w:rPr>
              <w:t>Underestimate of NMVOC emissions.</w:t>
            </w:r>
          </w:p>
        </w:tc>
        <w:tc>
          <w:tcPr>
            <w:tcW w:w="216" w:type="dxa"/>
            <w:tcBorders>
              <w:right w:val="single" w:sz="8" w:space="0" w:color="000000"/>
            </w:tcBorders>
            <w:shd w:val="clear" w:color="auto" w:fill="BDD7EE"/>
            <w:tcMar>
              <w:top w:w="0" w:type="dxa"/>
              <w:left w:w="0" w:type="dxa"/>
              <w:bottom w:w="0" w:type="dxa"/>
              <w:right w:w="0" w:type="dxa"/>
            </w:tcMar>
            <w:vAlign w:val="center"/>
          </w:tcPr>
          <w:p w14:paraId="2FC34B05" w14:textId="77777777" w:rsidR="002117B2" w:rsidRDefault="002117B2">
            <w:pPr>
              <w:spacing w:after="0"/>
              <w:ind w:left="2" w:right="2"/>
            </w:pPr>
          </w:p>
        </w:tc>
      </w:tr>
      <w:tr w:rsidR="002117B2" w14:paraId="34B4D9D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2EF8B58"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AC1575C" w14:textId="77777777" w:rsidR="002117B2" w:rsidRDefault="00616284">
            <w:pPr>
              <w:spacing w:after="0"/>
              <w:ind w:left="2" w:right="2"/>
            </w:pPr>
            <w:r>
              <w:rPr>
                <w:rFonts w:ascii="Calibri" w:eastAsia="Calibri" w:hAnsi="Calibri" w:cs="Calibri"/>
                <w:color w:val="111111"/>
                <w:sz w:val="18"/>
                <w:szCs w:val="18"/>
              </w:rPr>
              <w:t>Summarise the methodology used:</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41143A" w14:textId="77777777" w:rsidR="002117B2" w:rsidRDefault="00616284">
            <w:pPr>
              <w:spacing w:after="0"/>
              <w:ind w:left="2" w:right="2"/>
            </w:pPr>
            <w:r>
              <w:rPr>
                <w:rFonts w:ascii="Calibri" w:eastAsia="Calibri" w:hAnsi="Calibri" w:cs="Calibri"/>
                <w:color w:val="111111"/>
                <w:sz w:val="18"/>
                <w:szCs w:val="18"/>
              </w:rPr>
              <w:t>Lithuania recalculated NMVOC emissions using COPERT v5.0.</w:t>
            </w:r>
          </w:p>
        </w:tc>
        <w:tc>
          <w:tcPr>
            <w:tcW w:w="216" w:type="dxa"/>
            <w:tcBorders>
              <w:right w:val="single" w:sz="8" w:space="0" w:color="000000"/>
            </w:tcBorders>
            <w:shd w:val="clear" w:color="auto" w:fill="BDD7EE"/>
            <w:tcMar>
              <w:top w:w="0" w:type="dxa"/>
              <w:left w:w="0" w:type="dxa"/>
              <w:bottom w:w="0" w:type="dxa"/>
              <w:right w:w="0" w:type="dxa"/>
            </w:tcMar>
            <w:vAlign w:val="center"/>
          </w:tcPr>
          <w:p w14:paraId="79B1CA8F" w14:textId="77777777" w:rsidR="002117B2" w:rsidRDefault="002117B2">
            <w:pPr>
              <w:spacing w:after="0"/>
              <w:ind w:left="2" w:right="2"/>
            </w:pPr>
          </w:p>
        </w:tc>
      </w:tr>
      <w:tr w:rsidR="002117B2" w14:paraId="389734E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9150929"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570D2264"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2DED2E85"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7F1E7622"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4EA7040A"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7852E00D"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1E6A4C8F"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6F07CAE9"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190038FE" w14:textId="77777777" w:rsidR="002117B2" w:rsidRDefault="002117B2">
            <w:pPr>
              <w:spacing w:after="0"/>
              <w:ind w:left="2" w:right="2"/>
            </w:pPr>
          </w:p>
        </w:tc>
      </w:tr>
      <w:tr w:rsidR="002117B2" w14:paraId="32380A7B"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BD63AF9" w14:textId="77777777" w:rsidR="002117B2" w:rsidRDefault="00616284">
            <w:pPr>
              <w:spacing w:after="0"/>
              <w:ind w:left="2" w:right="2"/>
              <w:jc w:val="center"/>
            </w:pPr>
            <w:r>
              <w:rPr>
                <w:rFonts w:ascii="Calibri" w:eastAsia="Calibri" w:hAnsi="Calibri" w:cs="Calibri"/>
                <w:b/>
                <w:color w:val="FFFFFF"/>
                <w:sz w:val="18"/>
                <w:szCs w:val="18"/>
              </w:rPr>
              <w:t>2</w:t>
            </w:r>
          </w:p>
        </w:tc>
        <w:tc>
          <w:tcPr>
            <w:tcW w:w="9143" w:type="dxa"/>
            <w:gridSpan w:val="8"/>
            <w:tcBorders>
              <w:top w:val="single" w:sz="8" w:space="0" w:color="000000"/>
            </w:tcBorders>
            <w:shd w:val="clear" w:color="auto" w:fill="BDD7EE"/>
            <w:tcMar>
              <w:top w:w="0" w:type="dxa"/>
              <w:left w:w="0" w:type="dxa"/>
              <w:bottom w:w="0" w:type="dxa"/>
              <w:right w:w="0" w:type="dxa"/>
            </w:tcMar>
            <w:vAlign w:val="center"/>
          </w:tcPr>
          <w:p w14:paraId="04A111E4" w14:textId="77777777" w:rsidR="002117B2" w:rsidRDefault="00616284">
            <w:pPr>
              <w:spacing w:after="0"/>
              <w:ind w:left="2" w:right="2"/>
            </w:pPr>
            <w:r>
              <w:rPr>
                <w:rFonts w:ascii="Calibri" w:eastAsia="Calibri" w:hAnsi="Calibri" w:cs="Calibri"/>
                <w:b/>
                <w:color w:val="111111"/>
                <w:sz w:val="18"/>
                <w:szCs w:val="18"/>
              </w:rPr>
              <w:t>Details of the corrected estimate</w:t>
            </w:r>
          </w:p>
        </w:tc>
      </w:tr>
      <w:tr w:rsidR="002117B2" w14:paraId="5A1D412A"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AF6E26F"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5C597651"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F1CF1E4" w14:textId="77777777" w:rsidR="002117B2" w:rsidRDefault="00616284">
            <w:pPr>
              <w:spacing w:after="0"/>
              <w:ind w:left="2" w:right="2"/>
              <w:jc w:val="center"/>
            </w:pPr>
            <w:r>
              <w:rPr>
                <w:rFonts w:ascii="Calibri" w:eastAsia="Calibri" w:hAnsi="Calibri" w:cs="Calibri"/>
                <w:b/>
                <w:color w:val="111111"/>
                <w:sz w:val="18"/>
                <w:szCs w:val="18"/>
              </w:rPr>
              <w:t>Original Estimate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478AA52"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642AD43E" w14:textId="77777777" w:rsidR="002117B2" w:rsidRDefault="002117B2">
            <w:pPr>
              <w:spacing w:after="0"/>
              <w:ind w:left="2" w:right="2"/>
              <w:jc w:val="center"/>
            </w:pPr>
          </w:p>
        </w:tc>
      </w:tr>
      <w:tr w:rsidR="002117B2" w14:paraId="28260C89"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F59BEA7"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0F3D0B5"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49A6088" w14:textId="3FE9FD8D"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17624C2"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C6D2122" w14:textId="21E20504"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19CFC87" w14:textId="2C81B304"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E90A573" w14:textId="3336F48F"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E2827E2"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158EF3A7" w14:textId="77777777" w:rsidR="002117B2" w:rsidRDefault="002117B2">
            <w:pPr>
              <w:spacing w:after="0"/>
              <w:ind w:left="2" w:right="2"/>
              <w:jc w:val="center"/>
            </w:pPr>
          </w:p>
        </w:tc>
      </w:tr>
      <w:tr w:rsidR="002117B2" w14:paraId="172AFDD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6BBA674"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7EDA34D"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9EC82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7100F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3FEA1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052C3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7DC6A4"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3A762B"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FD41B5F" w14:textId="77777777" w:rsidR="002117B2" w:rsidRDefault="002117B2">
            <w:pPr>
              <w:spacing w:after="0"/>
              <w:ind w:left="2" w:right="2"/>
            </w:pPr>
          </w:p>
        </w:tc>
      </w:tr>
      <w:tr w:rsidR="002117B2" w14:paraId="260E1BD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7597513"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DED54C8"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DA78A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53DCEA" w14:textId="77777777" w:rsidR="002117B2" w:rsidRDefault="00616284">
            <w:pPr>
              <w:spacing w:after="0"/>
              <w:ind w:left="2" w:right="2"/>
            </w:pPr>
            <w:r>
              <w:rPr>
                <w:rFonts w:ascii="Calibri" w:eastAsia="Calibri" w:hAnsi="Calibri" w:cs="Calibri"/>
                <w:color w:val="111111"/>
                <w:sz w:val="18"/>
                <w:szCs w:val="18"/>
              </w:rPr>
              <w:t>1.371</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4EB79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E66A6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8DF5D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1D5148"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4C4340F" w14:textId="77777777" w:rsidR="002117B2" w:rsidRDefault="002117B2">
            <w:pPr>
              <w:spacing w:after="0"/>
              <w:ind w:left="2" w:right="2"/>
            </w:pPr>
          </w:p>
        </w:tc>
      </w:tr>
      <w:tr w:rsidR="002117B2" w14:paraId="276F132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64F9CDE"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741B13D"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393AA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8C6CDE" w14:textId="77777777" w:rsidR="002117B2" w:rsidRDefault="00616284">
            <w:pPr>
              <w:spacing w:after="0"/>
              <w:ind w:left="2" w:right="2"/>
            </w:pPr>
            <w:r>
              <w:rPr>
                <w:rFonts w:ascii="Calibri" w:eastAsia="Calibri" w:hAnsi="Calibri" w:cs="Calibri"/>
                <w:color w:val="111111"/>
                <w:sz w:val="18"/>
                <w:szCs w:val="18"/>
              </w:rPr>
              <w:t>0.467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3943B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E7666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502341"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656A6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3AFB993" w14:textId="77777777" w:rsidR="002117B2" w:rsidRDefault="002117B2">
            <w:pPr>
              <w:spacing w:after="0"/>
              <w:ind w:left="2" w:right="2"/>
            </w:pPr>
          </w:p>
        </w:tc>
      </w:tr>
      <w:tr w:rsidR="002117B2" w14:paraId="35FBC32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B3F3F7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473D409"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9A428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F5EB43" w14:textId="77777777" w:rsidR="002117B2" w:rsidRDefault="00616284">
            <w:pPr>
              <w:spacing w:after="0"/>
              <w:ind w:left="2" w:right="2"/>
            </w:pPr>
            <w:r>
              <w:rPr>
                <w:rFonts w:ascii="Calibri" w:eastAsia="Calibri" w:hAnsi="Calibri" w:cs="Calibri"/>
                <w:color w:val="111111"/>
                <w:sz w:val="18"/>
                <w:szCs w:val="18"/>
              </w:rPr>
              <w:t>0.458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4F3D1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E837D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B3C0D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FA1B13"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FED845D" w14:textId="77777777" w:rsidR="002117B2" w:rsidRDefault="002117B2">
            <w:pPr>
              <w:spacing w:after="0"/>
              <w:ind w:left="2" w:right="2"/>
            </w:pPr>
          </w:p>
        </w:tc>
      </w:tr>
      <w:tr w:rsidR="002117B2" w14:paraId="41BAABE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67B2B3B"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E362B69"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2C1EB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A3BFA0" w14:textId="77777777" w:rsidR="002117B2" w:rsidRDefault="00616284">
            <w:pPr>
              <w:spacing w:after="0"/>
              <w:ind w:left="2" w:right="2"/>
            </w:pPr>
            <w:r>
              <w:rPr>
                <w:rFonts w:ascii="Calibri" w:eastAsia="Calibri" w:hAnsi="Calibri" w:cs="Calibri"/>
                <w:color w:val="111111"/>
                <w:sz w:val="18"/>
                <w:szCs w:val="18"/>
              </w:rPr>
              <w:t>0.416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FB593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9A184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A317D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D67317"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E0A06FB" w14:textId="77777777" w:rsidR="002117B2" w:rsidRDefault="002117B2">
            <w:pPr>
              <w:spacing w:after="0"/>
              <w:ind w:left="2" w:right="2"/>
            </w:pPr>
          </w:p>
        </w:tc>
      </w:tr>
      <w:tr w:rsidR="002117B2" w14:paraId="19737D3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1621CF4"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BFD9A87"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1DF75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A7D88A" w14:textId="77777777" w:rsidR="002117B2" w:rsidRDefault="00616284">
            <w:pPr>
              <w:spacing w:after="0"/>
              <w:ind w:left="2" w:right="2"/>
            </w:pPr>
            <w:r>
              <w:rPr>
                <w:rFonts w:ascii="Calibri" w:eastAsia="Calibri" w:hAnsi="Calibri" w:cs="Calibri"/>
                <w:color w:val="111111"/>
                <w:sz w:val="18"/>
                <w:szCs w:val="18"/>
              </w:rPr>
              <w:t>0.533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2B2F0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B7F3F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17FFA9"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B7CCA4"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53265AE" w14:textId="77777777" w:rsidR="002117B2" w:rsidRDefault="002117B2">
            <w:pPr>
              <w:spacing w:after="0"/>
              <w:ind w:left="2" w:right="2"/>
            </w:pPr>
          </w:p>
        </w:tc>
      </w:tr>
      <w:tr w:rsidR="002117B2" w14:paraId="5649434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E982309"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2D8511F9"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650F411E"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1541F691"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1E9CC3E9"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7F149410"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53812285"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1C163A23"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BC100D2" w14:textId="77777777" w:rsidR="002117B2" w:rsidRDefault="002117B2">
            <w:pPr>
              <w:spacing w:after="0"/>
              <w:ind w:left="2" w:right="2"/>
            </w:pPr>
          </w:p>
        </w:tc>
      </w:tr>
      <w:tr w:rsidR="002117B2" w14:paraId="70D21EC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3A76744"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58317F6E"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DF29618" w14:textId="77777777" w:rsidR="002117B2" w:rsidRDefault="00616284">
            <w:pPr>
              <w:spacing w:after="0"/>
              <w:ind w:left="2" w:right="2"/>
              <w:jc w:val="center"/>
            </w:pPr>
            <w:r>
              <w:rPr>
                <w:rFonts w:ascii="Calibri" w:eastAsia="Calibri" w:hAnsi="Calibri" w:cs="Calibri"/>
                <w:b/>
                <w:color w:val="111111"/>
                <w:sz w:val="18"/>
                <w:szCs w:val="18"/>
              </w:rPr>
              <w:t>Revised Estimate received from MS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E750F94"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4BE37A28" w14:textId="77777777" w:rsidR="002117B2" w:rsidRDefault="002117B2">
            <w:pPr>
              <w:spacing w:after="0"/>
              <w:ind w:left="2" w:right="2"/>
              <w:jc w:val="center"/>
            </w:pPr>
          </w:p>
        </w:tc>
      </w:tr>
      <w:tr w:rsidR="002117B2" w14:paraId="0EBCDAA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7F2C43B"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75ED77C"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C7D97E6" w14:textId="2FEB50DC"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93922F5"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FFEC0A9" w14:textId="1FA714C4"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B31DAF4" w14:textId="2D264B23"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2A98806" w14:textId="61A073FC"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CD42FAA"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63354C4C" w14:textId="77777777" w:rsidR="002117B2" w:rsidRDefault="002117B2">
            <w:pPr>
              <w:spacing w:after="0"/>
              <w:ind w:left="2" w:right="2"/>
              <w:jc w:val="center"/>
            </w:pPr>
          </w:p>
        </w:tc>
      </w:tr>
      <w:tr w:rsidR="002117B2" w14:paraId="3A0DE10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E1CE060"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4D8CD6B"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4D562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EF705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B650D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49072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A426FB"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782D6B"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3735197" w14:textId="77777777" w:rsidR="002117B2" w:rsidRDefault="002117B2">
            <w:pPr>
              <w:spacing w:after="0"/>
              <w:ind w:left="2" w:right="2"/>
            </w:pPr>
          </w:p>
        </w:tc>
      </w:tr>
      <w:tr w:rsidR="002117B2" w14:paraId="1EE7DD1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17E94D9"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021115D"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A3F00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3C352D" w14:textId="77777777" w:rsidR="002117B2" w:rsidRDefault="00616284">
            <w:pPr>
              <w:spacing w:after="0"/>
              <w:ind w:left="2" w:right="2"/>
            </w:pPr>
            <w:r>
              <w:rPr>
                <w:rFonts w:ascii="Calibri" w:eastAsia="Calibri" w:hAnsi="Calibri" w:cs="Calibri"/>
                <w:color w:val="111111"/>
                <w:sz w:val="18"/>
                <w:szCs w:val="18"/>
              </w:rPr>
              <w:t>1.631</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D0EA4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B83AA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ADD2A3"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7667C4"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A77BF04" w14:textId="77777777" w:rsidR="002117B2" w:rsidRDefault="002117B2">
            <w:pPr>
              <w:spacing w:after="0"/>
              <w:ind w:left="2" w:right="2"/>
            </w:pPr>
          </w:p>
        </w:tc>
      </w:tr>
      <w:tr w:rsidR="002117B2" w14:paraId="698CDB8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01A6126"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F0DD0CF"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10858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DEFD81" w14:textId="77777777" w:rsidR="002117B2" w:rsidRDefault="00616284">
            <w:pPr>
              <w:spacing w:after="0"/>
              <w:ind w:left="2" w:right="2"/>
            </w:pPr>
            <w:r>
              <w:rPr>
                <w:rFonts w:ascii="Calibri" w:eastAsia="Calibri" w:hAnsi="Calibri" w:cs="Calibri"/>
                <w:color w:val="111111"/>
                <w:sz w:val="18"/>
                <w:szCs w:val="18"/>
              </w:rPr>
              <w:t>1.489</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B034E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EB33B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2B3E6E"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06EB1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F757EC3" w14:textId="77777777" w:rsidR="002117B2" w:rsidRDefault="002117B2">
            <w:pPr>
              <w:spacing w:after="0"/>
              <w:ind w:left="2" w:right="2"/>
            </w:pPr>
          </w:p>
        </w:tc>
      </w:tr>
      <w:tr w:rsidR="002117B2" w14:paraId="34048A7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BCE97F8"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FA8DB57"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F34EB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1F2EC7" w14:textId="77777777" w:rsidR="002117B2" w:rsidRDefault="00616284">
            <w:pPr>
              <w:spacing w:after="0"/>
              <w:ind w:left="2" w:right="2"/>
            </w:pPr>
            <w:r>
              <w:rPr>
                <w:rFonts w:ascii="Calibri" w:eastAsia="Calibri" w:hAnsi="Calibri" w:cs="Calibri"/>
                <w:color w:val="111111"/>
                <w:sz w:val="18"/>
                <w:szCs w:val="18"/>
              </w:rPr>
              <w:t>1.222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52448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1C171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AF50C2"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B9F62C"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B25CBB4" w14:textId="77777777" w:rsidR="002117B2" w:rsidRDefault="002117B2">
            <w:pPr>
              <w:spacing w:after="0"/>
              <w:ind w:left="2" w:right="2"/>
            </w:pPr>
          </w:p>
        </w:tc>
      </w:tr>
      <w:tr w:rsidR="002117B2" w14:paraId="5D65C39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D3FC08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1CAE793"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2299A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6DEF7F" w14:textId="77777777" w:rsidR="002117B2" w:rsidRDefault="00616284">
            <w:pPr>
              <w:spacing w:after="0"/>
              <w:ind w:left="2" w:right="2"/>
            </w:pPr>
            <w:r>
              <w:rPr>
                <w:rFonts w:ascii="Calibri" w:eastAsia="Calibri" w:hAnsi="Calibri" w:cs="Calibri"/>
                <w:color w:val="111111"/>
                <w:sz w:val="18"/>
                <w:szCs w:val="18"/>
              </w:rPr>
              <w:t>1.134</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89925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C0A83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031DAD"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9656E2"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48FD832" w14:textId="77777777" w:rsidR="002117B2" w:rsidRDefault="002117B2">
            <w:pPr>
              <w:spacing w:after="0"/>
              <w:ind w:left="2" w:right="2"/>
            </w:pPr>
          </w:p>
        </w:tc>
      </w:tr>
      <w:tr w:rsidR="002117B2" w14:paraId="1C25B71A"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40C5D81"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96BF0D0"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0211F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77DF43" w14:textId="77777777" w:rsidR="002117B2" w:rsidRDefault="00616284">
            <w:pPr>
              <w:spacing w:after="0"/>
              <w:ind w:left="2" w:right="2"/>
            </w:pPr>
            <w:r>
              <w:rPr>
                <w:rFonts w:ascii="Calibri" w:eastAsia="Calibri" w:hAnsi="Calibri" w:cs="Calibri"/>
                <w:color w:val="111111"/>
                <w:sz w:val="18"/>
                <w:szCs w:val="18"/>
              </w:rPr>
              <w:t>1.249</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BCDF7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D58EB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D06B40"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AF6A9D"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599E653" w14:textId="77777777" w:rsidR="002117B2" w:rsidRDefault="002117B2">
            <w:pPr>
              <w:spacing w:after="0"/>
              <w:ind w:left="2" w:right="2"/>
            </w:pPr>
          </w:p>
        </w:tc>
      </w:tr>
      <w:tr w:rsidR="002117B2" w14:paraId="0210B42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DEE15B8"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61C4134D"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3A255AB2"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461543D1"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38D78B02"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3FFC9CA6"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59126CBC"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32E25FBC"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17F774E" w14:textId="77777777" w:rsidR="002117B2" w:rsidRDefault="002117B2">
            <w:pPr>
              <w:spacing w:after="0"/>
              <w:ind w:left="2" w:right="2"/>
            </w:pPr>
          </w:p>
        </w:tc>
      </w:tr>
      <w:tr w:rsidR="002117B2" w14:paraId="1D29A4D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5DC9E60"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0BB4B108"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DF83675" w14:textId="77777777" w:rsidR="002117B2" w:rsidRDefault="00616284">
            <w:pPr>
              <w:spacing w:after="0"/>
              <w:ind w:left="2" w:right="2"/>
              <w:jc w:val="center"/>
            </w:pPr>
            <w:r>
              <w:rPr>
                <w:rFonts w:ascii="Calibri" w:eastAsia="Calibri" w:hAnsi="Calibri" w:cs="Calibri"/>
                <w:b/>
                <w:color w:val="111111"/>
                <w:sz w:val="18"/>
                <w:szCs w:val="18"/>
              </w:rPr>
              <w:t>Difference between Original Estimate and Revised Estimate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64DE2F9"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15093457" w14:textId="77777777" w:rsidR="002117B2" w:rsidRDefault="002117B2">
            <w:pPr>
              <w:spacing w:after="0"/>
              <w:ind w:left="2" w:right="2"/>
              <w:jc w:val="center"/>
            </w:pPr>
          </w:p>
        </w:tc>
      </w:tr>
      <w:tr w:rsidR="002117B2" w14:paraId="261CADC2"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1A52DD5"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8DC35E6"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30C7326" w14:textId="51D7A550"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FAA544B"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47092C4" w14:textId="5CB9ED15"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DBB5B05" w14:textId="4AAF770C"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79FA549" w14:textId="6A3AA9CA"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294AC86"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0CAB63B4" w14:textId="77777777" w:rsidR="002117B2" w:rsidRDefault="002117B2">
            <w:pPr>
              <w:spacing w:after="0"/>
              <w:ind w:left="2" w:right="2"/>
              <w:jc w:val="center"/>
            </w:pPr>
          </w:p>
        </w:tc>
      </w:tr>
      <w:tr w:rsidR="002117B2" w14:paraId="623836C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542BC40"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C3CB5BF"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1539B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5375A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D5312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CC7D5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F04A7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65A05A"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7C596D5" w14:textId="77777777" w:rsidR="002117B2" w:rsidRDefault="002117B2">
            <w:pPr>
              <w:spacing w:after="0"/>
              <w:ind w:left="2" w:right="2"/>
            </w:pPr>
          </w:p>
        </w:tc>
      </w:tr>
      <w:tr w:rsidR="002117B2" w14:paraId="13794DCA"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19A627C"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AC101FE"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764A0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031029" w14:textId="77777777" w:rsidR="002117B2" w:rsidRDefault="00616284">
            <w:pPr>
              <w:spacing w:after="0"/>
              <w:ind w:left="2" w:right="2"/>
            </w:pPr>
            <w:r>
              <w:rPr>
                <w:rFonts w:ascii="Calibri" w:eastAsia="Calibri" w:hAnsi="Calibri" w:cs="Calibri"/>
                <w:color w:val="111111"/>
                <w:sz w:val="18"/>
                <w:szCs w:val="18"/>
              </w:rPr>
              <w:t>0.260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8FED6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927F1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21D7C4"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5F4835"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061D01B" w14:textId="77777777" w:rsidR="002117B2" w:rsidRDefault="002117B2">
            <w:pPr>
              <w:spacing w:after="0"/>
              <w:ind w:left="2" w:right="2"/>
            </w:pPr>
          </w:p>
        </w:tc>
      </w:tr>
      <w:tr w:rsidR="002117B2" w14:paraId="281CDE3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FA9F7C7"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6936C61"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B18BF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5394EB" w14:textId="77777777" w:rsidR="002117B2" w:rsidRDefault="00616284">
            <w:pPr>
              <w:spacing w:after="0"/>
              <w:ind w:left="2" w:right="2"/>
            </w:pPr>
            <w:r>
              <w:rPr>
                <w:rFonts w:ascii="Calibri" w:eastAsia="Calibri" w:hAnsi="Calibri" w:cs="Calibri"/>
                <w:color w:val="111111"/>
                <w:sz w:val="18"/>
                <w:szCs w:val="18"/>
              </w:rPr>
              <w:t>1.022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84BD7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651EB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597F25"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6F8EA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02C058D7" w14:textId="77777777" w:rsidR="002117B2" w:rsidRDefault="002117B2">
            <w:pPr>
              <w:spacing w:after="0"/>
              <w:ind w:left="2" w:right="2"/>
            </w:pPr>
          </w:p>
        </w:tc>
      </w:tr>
      <w:tr w:rsidR="002117B2" w14:paraId="10F75D4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84A61D"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9E58CBC"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54FF3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CF7836" w14:textId="77777777" w:rsidR="002117B2" w:rsidRDefault="00616284">
            <w:pPr>
              <w:spacing w:after="0"/>
              <w:ind w:left="2" w:right="2"/>
            </w:pPr>
            <w:r>
              <w:rPr>
                <w:rFonts w:ascii="Calibri" w:eastAsia="Calibri" w:hAnsi="Calibri" w:cs="Calibri"/>
                <w:color w:val="111111"/>
                <w:sz w:val="18"/>
                <w:szCs w:val="18"/>
              </w:rPr>
              <w:t>0.764</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436EE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038CF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436D71"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CA6B1A"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D7BC9BD" w14:textId="77777777" w:rsidR="002117B2" w:rsidRDefault="002117B2">
            <w:pPr>
              <w:spacing w:after="0"/>
              <w:ind w:left="2" w:right="2"/>
            </w:pPr>
          </w:p>
        </w:tc>
      </w:tr>
      <w:tr w:rsidR="002117B2" w14:paraId="79BD394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CC181B8"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69A5A65"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8A938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4B97A4" w14:textId="77777777" w:rsidR="002117B2" w:rsidRDefault="00616284">
            <w:pPr>
              <w:spacing w:after="0"/>
              <w:ind w:left="2" w:right="2"/>
            </w:pPr>
            <w:r>
              <w:rPr>
                <w:rFonts w:ascii="Calibri" w:eastAsia="Calibri" w:hAnsi="Calibri" w:cs="Calibri"/>
                <w:color w:val="111111"/>
                <w:sz w:val="18"/>
                <w:szCs w:val="18"/>
              </w:rPr>
              <w:t>0.718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05150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041B4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96B25C"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451ECE"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0BBA532" w14:textId="77777777" w:rsidR="002117B2" w:rsidRDefault="002117B2">
            <w:pPr>
              <w:spacing w:after="0"/>
              <w:ind w:left="2" w:right="2"/>
            </w:pPr>
          </w:p>
        </w:tc>
      </w:tr>
      <w:tr w:rsidR="002117B2" w14:paraId="3408008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B4AD831"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154BE9F"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21A61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EE83E5" w14:textId="77777777" w:rsidR="002117B2" w:rsidRDefault="00616284">
            <w:pPr>
              <w:spacing w:after="0"/>
              <w:ind w:left="2" w:right="2"/>
            </w:pPr>
            <w:r>
              <w:rPr>
                <w:rFonts w:ascii="Calibri" w:eastAsia="Calibri" w:hAnsi="Calibri" w:cs="Calibri"/>
                <w:color w:val="111111"/>
                <w:sz w:val="18"/>
                <w:szCs w:val="18"/>
              </w:rPr>
              <w:t>0.716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46CE7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6BA93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4656F3"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82912D"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2085094" w14:textId="77777777" w:rsidR="002117B2" w:rsidRDefault="002117B2">
            <w:pPr>
              <w:spacing w:after="0"/>
              <w:ind w:left="2" w:right="2"/>
            </w:pPr>
          </w:p>
        </w:tc>
      </w:tr>
      <w:tr w:rsidR="002117B2" w14:paraId="5204476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2090ED0"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208A1E40"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6DB74B2C"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2BCBD397"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45812464"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065DF6AF"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5DCD4FB2"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28773B61"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012DB84E" w14:textId="77777777" w:rsidR="002117B2" w:rsidRDefault="002117B2">
            <w:pPr>
              <w:spacing w:after="0"/>
              <w:ind w:left="2" w:right="2"/>
            </w:pPr>
          </w:p>
        </w:tc>
      </w:tr>
    </w:tbl>
    <w:p w14:paraId="0934F832" w14:textId="77777777" w:rsidR="002117B2" w:rsidRDefault="00616284">
      <w:r>
        <w:br w:type="page"/>
      </w:r>
    </w:p>
    <w:tbl>
      <w:tblPr>
        <w:tblW w:w="9360" w:type="dxa"/>
        <w:jc w:val="center"/>
        <w:tblLayout w:type="fixed"/>
        <w:tblLook w:val="0420" w:firstRow="1" w:lastRow="0" w:firstColumn="0" w:lastColumn="0" w:noHBand="0" w:noVBand="1"/>
      </w:tblPr>
      <w:tblGrid>
        <w:gridCol w:w="217"/>
        <w:gridCol w:w="1440"/>
        <w:gridCol w:w="1123"/>
        <w:gridCol w:w="1123"/>
        <w:gridCol w:w="1123"/>
        <w:gridCol w:w="1123"/>
        <w:gridCol w:w="1123"/>
        <w:gridCol w:w="1872"/>
        <w:gridCol w:w="216"/>
      </w:tblGrid>
      <w:tr w:rsidR="002117B2" w14:paraId="05EF1955"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0223BB4" w14:textId="77777777" w:rsidR="002117B2" w:rsidRDefault="00616284">
            <w:pPr>
              <w:spacing w:after="0"/>
              <w:ind w:left="2" w:right="2"/>
              <w:jc w:val="center"/>
            </w:pPr>
            <w:r>
              <w:rPr>
                <w:rFonts w:ascii="Calibri" w:eastAsia="Calibri" w:hAnsi="Calibri" w:cs="Calibri"/>
                <w:b/>
                <w:color w:val="FFFFFF"/>
                <w:sz w:val="18"/>
                <w:szCs w:val="18"/>
              </w:rPr>
              <w:t>1</w:t>
            </w:r>
          </w:p>
        </w:tc>
        <w:tc>
          <w:tcPr>
            <w:tcW w:w="1440" w:type="dxa"/>
            <w:tcBorders>
              <w:top w:val="single" w:sz="8" w:space="0" w:color="000000"/>
            </w:tcBorders>
            <w:shd w:val="clear" w:color="auto" w:fill="BDD7EE"/>
            <w:tcMar>
              <w:top w:w="0" w:type="dxa"/>
              <w:left w:w="0" w:type="dxa"/>
              <w:bottom w:w="0" w:type="dxa"/>
              <w:right w:w="0" w:type="dxa"/>
            </w:tcMar>
            <w:vAlign w:val="center"/>
          </w:tcPr>
          <w:p w14:paraId="4C59424E"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175182FB"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2D1A8617"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6D96EEF4"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5259F53C"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6021DC88" w14:textId="77777777" w:rsidR="002117B2" w:rsidRDefault="002117B2">
            <w:pPr>
              <w:spacing w:after="0"/>
              <w:ind w:left="2" w:right="2"/>
            </w:pPr>
          </w:p>
        </w:tc>
        <w:tc>
          <w:tcPr>
            <w:tcW w:w="1872" w:type="dxa"/>
            <w:tcBorders>
              <w:top w:val="single" w:sz="8" w:space="0" w:color="000000"/>
            </w:tcBorders>
            <w:shd w:val="clear" w:color="auto" w:fill="BDD7EE"/>
            <w:tcMar>
              <w:top w:w="0" w:type="dxa"/>
              <w:left w:w="0" w:type="dxa"/>
              <w:bottom w:w="0" w:type="dxa"/>
              <w:right w:w="0" w:type="dxa"/>
            </w:tcMar>
            <w:vAlign w:val="center"/>
          </w:tcPr>
          <w:p w14:paraId="0E16302A" w14:textId="77777777" w:rsidR="002117B2" w:rsidRDefault="002117B2">
            <w:pPr>
              <w:spacing w:after="0"/>
              <w:ind w:left="2" w:right="2"/>
            </w:pPr>
          </w:p>
        </w:tc>
        <w:tc>
          <w:tcPr>
            <w:tcW w:w="216" w:type="dxa"/>
            <w:tcBorders>
              <w:top w:val="single" w:sz="8" w:space="0" w:color="000000"/>
              <w:right w:val="single" w:sz="8" w:space="0" w:color="000000"/>
            </w:tcBorders>
            <w:shd w:val="clear" w:color="auto" w:fill="BDD7EE"/>
            <w:tcMar>
              <w:top w:w="0" w:type="dxa"/>
              <w:left w:w="0" w:type="dxa"/>
              <w:bottom w:w="0" w:type="dxa"/>
              <w:right w:w="0" w:type="dxa"/>
            </w:tcMar>
            <w:vAlign w:val="center"/>
          </w:tcPr>
          <w:p w14:paraId="04427E2C" w14:textId="77777777" w:rsidR="002117B2" w:rsidRDefault="002117B2">
            <w:pPr>
              <w:spacing w:after="0"/>
              <w:ind w:left="2" w:right="2"/>
            </w:pPr>
          </w:p>
        </w:tc>
      </w:tr>
      <w:tr w:rsidR="002117B2" w14:paraId="72A7386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0AB7FF6"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E58CF0C" w14:textId="77777777" w:rsidR="002117B2" w:rsidRDefault="00616284">
            <w:pPr>
              <w:spacing w:after="0"/>
              <w:ind w:left="2" w:right="2"/>
            </w:pPr>
            <w:r>
              <w:rPr>
                <w:rFonts w:ascii="Calibri" w:eastAsia="Calibri" w:hAnsi="Calibri" w:cs="Calibri"/>
                <w:color w:val="111111"/>
                <w:sz w:val="18"/>
                <w:szCs w:val="18"/>
              </w:rPr>
              <w:t>EMRT ID:</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0BA833" w14:textId="77777777" w:rsidR="002117B2" w:rsidRDefault="00616284">
            <w:pPr>
              <w:spacing w:after="0"/>
              <w:ind w:left="2" w:right="2"/>
            </w:pPr>
            <w:r>
              <w:rPr>
                <w:rFonts w:ascii="Calibri" w:eastAsia="Calibri" w:hAnsi="Calibri" w:cs="Calibri"/>
                <w:color w:val="111111"/>
                <w:sz w:val="18"/>
                <w:szCs w:val="18"/>
              </w:rPr>
              <w:t>LT-1A3ei-2017-0001</w:t>
            </w:r>
          </w:p>
        </w:tc>
        <w:tc>
          <w:tcPr>
            <w:tcW w:w="216" w:type="dxa"/>
            <w:tcBorders>
              <w:right w:val="single" w:sz="8" w:space="0" w:color="000000"/>
            </w:tcBorders>
            <w:shd w:val="clear" w:color="auto" w:fill="BDD7EE"/>
            <w:tcMar>
              <w:top w:w="0" w:type="dxa"/>
              <w:left w:w="0" w:type="dxa"/>
              <w:bottom w:w="0" w:type="dxa"/>
              <w:right w:w="0" w:type="dxa"/>
            </w:tcMar>
            <w:vAlign w:val="center"/>
          </w:tcPr>
          <w:p w14:paraId="5A405FC7" w14:textId="77777777" w:rsidR="002117B2" w:rsidRDefault="002117B2">
            <w:pPr>
              <w:spacing w:after="0"/>
              <w:ind w:left="2" w:right="2"/>
            </w:pPr>
          </w:p>
        </w:tc>
      </w:tr>
      <w:tr w:rsidR="002117B2" w14:paraId="3BBD150A"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42C7AA0"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9691B7A" w14:textId="77777777" w:rsidR="002117B2" w:rsidRDefault="00616284">
            <w:pPr>
              <w:spacing w:after="0"/>
              <w:ind w:left="2" w:right="2"/>
            </w:pPr>
            <w:r>
              <w:rPr>
                <w:rFonts w:ascii="Calibri" w:eastAsia="Calibri" w:hAnsi="Calibri" w:cs="Calibri"/>
                <w:color w:val="111111"/>
                <w:sz w:val="18"/>
                <w:szCs w:val="18"/>
              </w:rPr>
              <w:t>EMRT URL:</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4FD883" w14:textId="77777777" w:rsidR="002117B2" w:rsidRDefault="00616284">
            <w:pPr>
              <w:spacing w:after="0"/>
              <w:ind w:left="2" w:right="2"/>
            </w:pPr>
            <w:r>
              <w:rPr>
                <w:rFonts w:ascii="Calibri" w:eastAsia="Calibri" w:hAnsi="Calibri" w:cs="Calibri"/>
                <w:color w:val="111111"/>
                <w:sz w:val="18"/>
                <w:szCs w:val="18"/>
              </w:rPr>
              <w:t>https://emrt-necd.eionet.europa.eu/2020/LT-1A3ei-2017-0001</w:t>
            </w:r>
          </w:p>
        </w:tc>
        <w:tc>
          <w:tcPr>
            <w:tcW w:w="216" w:type="dxa"/>
            <w:tcBorders>
              <w:right w:val="single" w:sz="8" w:space="0" w:color="000000"/>
            </w:tcBorders>
            <w:shd w:val="clear" w:color="auto" w:fill="BDD7EE"/>
            <w:tcMar>
              <w:top w:w="0" w:type="dxa"/>
              <w:left w:w="0" w:type="dxa"/>
              <w:bottom w:w="0" w:type="dxa"/>
              <w:right w:w="0" w:type="dxa"/>
            </w:tcMar>
            <w:vAlign w:val="center"/>
          </w:tcPr>
          <w:p w14:paraId="3231CE1E" w14:textId="77777777" w:rsidR="002117B2" w:rsidRDefault="002117B2">
            <w:pPr>
              <w:spacing w:after="0"/>
              <w:ind w:left="2" w:right="2"/>
            </w:pPr>
          </w:p>
        </w:tc>
      </w:tr>
      <w:tr w:rsidR="002117B2" w14:paraId="5A45611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FDCE6B0"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88AE7C6" w14:textId="77777777" w:rsidR="002117B2" w:rsidRDefault="00616284">
            <w:pPr>
              <w:spacing w:after="0"/>
              <w:ind w:left="2" w:right="2"/>
            </w:pPr>
            <w:r>
              <w:rPr>
                <w:rFonts w:ascii="Calibri" w:eastAsia="Calibri" w:hAnsi="Calibri" w:cs="Calibri"/>
                <w:color w:val="111111"/>
                <w:sz w:val="18"/>
                <w:szCs w:val="18"/>
              </w:rPr>
              <w:t>Member State:</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EA57BE" w14:textId="77777777" w:rsidR="002117B2" w:rsidRDefault="00616284">
            <w:pPr>
              <w:spacing w:after="0"/>
              <w:ind w:left="2" w:right="2"/>
            </w:pPr>
            <w:r>
              <w:rPr>
                <w:rFonts w:ascii="Calibri" w:eastAsia="Calibri" w:hAnsi="Calibri" w:cs="Calibri"/>
                <w:color w:val="111111"/>
                <w:sz w:val="18"/>
                <w:szCs w:val="18"/>
              </w:rPr>
              <w:t>Lithuania</w:t>
            </w:r>
          </w:p>
        </w:tc>
        <w:tc>
          <w:tcPr>
            <w:tcW w:w="216" w:type="dxa"/>
            <w:tcBorders>
              <w:right w:val="single" w:sz="8" w:space="0" w:color="000000"/>
            </w:tcBorders>
            <w:shd w:val="clear" w:color="auto" w:fill="BDD7EE"/>
            <w:tcMar>
              <w:top w:w="0" w:type="dxa"/>
              <w:left w:w="0" w:type="dxa"/>
              <w:bottom w:w="0" w:type="dxa"/>
              <w:right w:w="0" w:type="dxa"/>
            </w:tcMar>
            <w:vAlign w:val="center"/>
          </w:tcPr>
          <w:p w14:paraId="1034F270" w14:textId="77777777" w:rsidR="002117B2" w:rsidRDefault="002117B2">
            <w:pPr>
              <w:spacing w:after="0"/>
              <w:ind w:left="2" w:right="2"/>
            </w:pPr>
          </w:p>
        </w:tc>
      </w:tr>
      <w:tr w:rsidR="002117B2" w14:paraId="46049C4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2A9B3BA"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360A549" w14:textId="77777777" w:rsidR="002117B2" w:rsidRDefault="00616284">
            <w:pPr>
              <w:spacing w:after="0"/>
              <w:ind w:left="2" w:right="2"/>
            </w:pPr>
            <w:r>
              <w:rPr>
                <w:rFonts w:ascii="Calibri" w:eastAsia="Calibri" w:hAnsi="Calibri" w:cs="Calibri"/>
                <w:color w:val="111111"/>
                <w:sz w:val="18"/>
                <w:szCs w:val="18"/>
              </w:rPr>
              <w:t>Sector: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B1BCA2" w14:textId="7529DB9C" w:rsidR="002117B2" w:rsidRDefault="00616284">
            <w:pPr>
              <w:spacing w:after="0"/>
              <w:ind w:left="2" w:right="2"/>
            </w:pPr>
            <w:r>
              <w:rPr>
                <w:rFonts w:ascii="Calibri" w:eastAsia="Calibri" w:hAnsi="Calibri" w:cs="Calibri"/>
                <w:color w:val="111111"/>
                <w:sz w:val="18"/>
                <w:szCs w:val="18"/>
              </w:rPr>
              <w:t xml:space="preserve">1A3ei Pipeline </w:t>
            </w:r>
            <w:r w:rsidR="00CD02E8">
              <w:rPr>
                <w:rFonts w:ascii="Calibri" w:eastAsia="Calibri" w:hAnsi="Calibri" w:cs="Calibri"/>
                <w:color w:val="111111"/>
                <w:sz w:val="18"/>
                <w:szCs w:val="18"/>
              </w:rPr>
              <w:t>T</w:t>
            </w:r>
            <w:r>
              <w:rPr>
                <w:rFonts w:ascii="Calibri" w:eastAsia="Calibri" w:hAnsi="Calibri" w:cs="Calibri"/>
                <w:color w:val="111111"/>
                <w:sz w:val="18"/>
                <w:szCs w:val="18"/>
              </w:rPr>
              <w:t>ransport</w:t>
            </w:r>
          </w:p>
        </w:tc>
        <w:tc>
          <w:tcPr>
            <w:tcW w:w="216" w:type="dxa"/>
            <w:tcBorders>
              <w:right w:val="single" w:sz="8" w:space="0" w:color="000000"/>
            </w:tcBorders>
            <w:shd w:val="clear" w:color="auto" w:fill="BDD7EE"/>
            <w:tcMar>
              <w:top w:w="0" w:type="dxa"/>
              <w:left w:w="0" w:type="dxa"/>
              <w:bottom w:w="0" w:type="dxa"/>
              <w:right w:w="0" w:type="dxa"/>
            </w:tcMar>
            <w:vAlign w:val="center"/>
          </w:tcPr>
          <w:p w14:paraId="469E67E5" w14:textId="77777777" w:rsidR="002117B2" w:rsidRDefault="002117B2">
            <w:pPr>
              <w:spacing w:after="0"/>
              <w:ind w:left="2" w:right="2"/>
            </w:pPr>
          </w:p>
        </w:tc>
      </w:tr>
      <w:tr w:rsidR="002117B2" w14:paraId="08606BA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9EB17D8"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AFE9615" w14:textId="77777777" w:rsidR="002117B2" w:rsidRDefault="00616284">
            <w:pPr>
              <w:spacing w:after="0"/>
              <w:ind w:left="2" w:right="2"/>
            </w:pPr>
            <w:r>
              <w:rPr>
                <w:rFonts w:ascii="Calibri" w:eastAsia="Calibri" w:hAnsi="Calibri" w:cs="Calibri"/>
                <w:color w:val="111111"/>
                <w:sz w:val="18"/>
                <w:szCs w:val="18"/>
              </w:rPr>
              <w:t>Pollutants:</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D06A96" w14:textId="2F1EC584" w:rsidR="002117B2" w:rsidRDefault="00616284">
            <w:pPr>
              <w:spacing w:after="0"/>
              <w:ind w:left="2" w:right="2"/>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216" w:type="dxa"/>
            <w:tcBorders>
              <w:right w:val="single" w:sz="8" w:space="0" w:color="000000"/>
            </w:tcBorders>
            <w:shd w:val="clear" w:color="auto" w:fill="BDD7EE"/>
            <w:tcMar>
              <w:top w:w="0" w:type="dxa"/>
              <w:left w:w="0" w:type="dxa"/>
              <w:bottom w:w="0" w:type="dxa"/>
              <w:right w:w="0" w:type="dxa"/>
            </w:tcMar>
            <w:vAlign w:val="center"/>
          </w:tcPr>
          <w:p w14:paraId="4D95D6DB" w14:textId="77777777" w:rsidR="002117B2" w:rsidRDefault="002117B2">
            <w:pPr>
              <w:spacing w:after="0"/>
              <w:ind w:left="2" w:right="2"/>
            </w:pPr>
          </w:p>
        </w:tc>
      </w:tr>
      <w:tr w:rsidR="002117B2" w14:paraId="5F9AB18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0E7BD8"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4B204AF" w14:textId="77777777" w:rsidR="002117B2" w:rsidRDefault="00616284">
            <w:pPr>
              <w:spacing w:after="0"/>
              <w:ind w:left="2" w:right="2"/>
            </w:pPr>
            <w:r>
              <w:rPr>
                <w:rFonts w:ascii="Calibri" w:eastAsia="Calibri" w:hAnsi="Calibri" w:cs="Calibri"/>
                <w:color w:val="111111"/>
                <w:sz w:val="18"/>
                <w:szCs w:val="18"/>
              </w:rPr>
              <w:t>Completed by (SE):</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6A60C0" w14:textId="77777777" w:rsidR="002117B2" w:rsidRDefault="00616284">
            <w:pPr>
              <w:spacing w:after="0"/>
              <w:ind w:left="2" w:right="2"/>
            </w:pPr>
            <w:r>
              <w:rPr>
                <w:rFonts w:ascii="Calibri" w:eastAsia="Calibri" w:hAnsi="Calibri" w:cs="Calibri"/>
                <w:color w:val="111111"/>
                <w:sz w:val="18"/>
                <w:szCs w:val="18"/>
              </w:rPr>
              <w:t>Matina Kastori</w:t>
            </w:r>
          </w:p>
        </w:tc>
        <w:tc>
          <w:tcPr>
            <w:tcW w:w="216" w:type="dxa"/>
            <w:tcBorders>
              <w:right w:val="single" w:sz="8" w:space="0" w:color="000000"/>
            </w:tcBorders>
            <w:shd w:val="clear" w:color="auto" w:fill="BDD7EE"/>
            <w:tcMar>
              <w:top w:w="0" w:type="dxa"/>
              <w:left w:w="0" w:type="dxa"/>
              <w:bottom w:w="0" w:type="dxa"/>
              <w:right w:w="0" w:type="dxa"/>
            </w:tcMar>
            <w:vAlign w:val="center"/>
          </w:tcPr>
          <w:p w14:paraId="780E81E9" w14:textId="77777777" w:rsidR="002117B2" w:rsidRDefault="002117B2">
            <w:pPr>
              <w:spacing w:after="0"/>
              <w:ind w:left="2" w:right="2"/>
            </w:pPr>
          </w:p>
        </w:tc>
      </w:tr>
      <w:tr w:rsidR="002117B2" w14:paraId="387F4A2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C99081E"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5D947B5" w14:textId="77777777" w:rsidR="002117B2" w:rsidRDefault="00616284">
            <w:pPr>
              <w:spacing w:after="0"/>
              <w:ind w:left="2" w:right="2"/>
            </w:pPr>
            <w:r>
              <w:rPr>
                <w:rFonts w:ascii="Calibri" w:eastAsia="Calibri" w:hAnsi="Calibri" w:cs="Calibri"/>
                <w:color w:val="111111"/>
                <w:sz w:val="18"/>
                <w:szCs w:val="18"/>
              </w:rPr>
              <w:t>Reviewed by (LR):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A0B84F" w14:textId="77777777" w:rsidR="002117B2" w:rsidRDefault="00616284">
            <w:pPr>
              <w:spacing w:after="0"/>
              <w:ind w:left="2" w:right="2"/>
            </w:pPr>
            <w:r>
              <w:rPr>
                <w:rFonts w:ascii="Calibri" w:eastAsia="Calibri" w:hAnsi="Calibri" w:cs="Calibri"/>
                <w:color w:val="111111"/>
                <w:sz w:val="18"/>
                <w:szCs w:val="18"/>
              </w:rPr>
              <w:t>Justin Goodwin</w:t>
            </w:r>
          </w:p>
        </w:tc>
        <w:tc>
          <w:tcPr>
            <w:tcW w:w="216" w:type="dxa"/>
            <w:tcBorders>
              <w:right w:val="single" w:sz="8" w:space="0" w:color="000000"/>
            </w:tcBorders>
            <w:shd w:val="clear" w:color="auto" w:fill="BDD7EE"/>
            <w:tcMar>
              <w:top w:w="0" w:type="dxa"/>
              <w:left w:w="0" w:type="dxa"/>
              <w:bottom w:w="0" w:type="dxa"/>
              <w:right w:w="0" w:type="dxa"/>
            </w:tcMar>
            <w:vAlign w:val="center"/>
          </w:tcPr>
          <w:p w14:paraId="7FCB6219" w14:textId="77777777" w:rsidR="002117B2" w:rsidRDefault="002117B2">
            <w:pPr>
              <w:spacing w:after="0"/>
              <w:ind w:left="2" w:right="2"/>
            </w:pPr>
          </w:p>
        </w:tc>
      </w:tr>
      <w:tr w:rsidR="002117B2" w14:paraId="4F6145D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64C7165"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DA6DE26" w14:textId="77777777" w:rsidR="002117B2" w:rsidRDefault="00616284">
            <w:pPr>
              <w:spacing w:after="0"/>
              <w:ind w:left="2" w:right="2"/>
            </w:pPr>
            <w:r>
              <w:rPr>
                <w:rFonts w:ascii="Calibri" w:eastAsia="Calibri" w:hAnsi="Calibri" w:cs="Calibri"/>
                <w:color w:val="111111"/>
                <w:sz w:val="18"/>
                <w:szCs w:val="18"/>
              </w:rPr>
              <w:t>Reviewed by (Counterpart):</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A522F5" w14:textId="77777777" w:rsidR="002117B2" w:rsidRDefault="00616284">
            <w:pPr>
              <w:spacing w:after="0"/>
              <w:ind w:left="2" w:right="2"/>
            </w:pPr>
            <w:r>
              <w:rPr>
                <w:rFonts w:ascii="Calibri" w:eastAsia="Calibri" w:hAnsi="Calibri" w:cs="Calibri"/>
                <w:color w:val="111111"/>
                <w:sz w:val="18"/>
                <w:szCs w:val="18"/>
              </w:rPr>
              <w:t>Jean-Marc André</w:t>
            </w:r>
          </w:p>
        </w:tc>
        <w:tc>
          <w:tcPr>
            <w:tcW w:w="216" w:type="dxa"/>
            <w:tcBorders>
              <w:right w:val="single" w:sz="8" w:space="0" w:color="000000"/>
            </w:tcBorders>
            <w:shd w:val="clear" w:color="auto" w:fill="BDD7EE"/>
            <w:tcMar>
              <w:top w:w="0" w:type="dxa"/>
              <w:left w:w="0" w:type="dxa"/>
              <w:bottom w:w="0" w:type="dxa"/>
              <w:right w:w="0" w:type="dxa"/>
            </w:tcMar>
            <w:vAlign w:val="center"/>
          </w:tcPr>
          <w:p w14:paraId="6B3AF1F5" w14:textId="77777777" w:rsidR="002117B2" w:rsidRDefault="002117B2">
            <w:pPr>
              <w:spacing w:after="0"/>
              <w:ind w:left="2" w:right="2"/>
            </w:pPr>
          </w:p>
        </w:tc>
      </w:tr>
      <w:tr w:rsidR="002117B2" w14:paraId="58EF9D6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1C1B427"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F2934F3" w14:textId="77777777" w:rsidR="002117B2" w:rsidRDefault="00616284">
            <w:pPr>
              <w:spacing w:after="0"/>
              <w:ind w:left="2" w:right="2"/>
            </w:pPr>
            <w:r>
              <w:rPr>
                <w:rFonts w:ascii="Calibri" w:eastAsia="Calibri" w:hAnsi="Calibri" w:cs="Calibri"/>
                <w:color w:val="111111"/>
                <w:sz w:val="18"/>
                <w:szCs w:val="18"/>
              </w:rPr>
              <w:t>Reviewed by (Quality Controller):</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E146FD" w14:textId="77777777" w:rsidR="002117B2" w:rsidRDefault="00616284">
            <w:pPr>
              <w:spacing w:after="0"/>
              <w:ind w:left="2" w:right="2"/>
            </w:pPr>
            <w:r>
              <w:rPr>
                <w:rFonts w:ascii="Calibri" w:eastAsia="Calibri" w:hAnsi="Calibri" w:cs="Calibri"/>
                <w:color w:val="111111"/>
                <w:sz w:val="18"/>
                <w:szCs w:val="18"/>
              </w:rPr>
              <w:t>Chris Dore</w:t>
            </w:r>
          </w:p>
        </w:tc>
        <w:tc>
          <w:tcPr>
            <w:tcW w:w="216" w:type="dxa"/>
            <w:tcBorders>
              <w:right w:val="single" w:sz="8" w:space="0" w:color="000000"/>
            </w:tcBorders>
            <w:shd w:val="clear" w:color="auto" w:fill="BDD7EE"/>
            <w:tcMar>
              <w:top w:w="0" w:type="dxa"/>
              <w:left w:w="0" w:type="dxa"/>
              <w:bottom w:w="0" w:type="dxa"/>
              <w:right w:w="0" w:type="dxa"/>
            </w:tcMar>
            <w:vAlign w:val="center"/>
          </w:tcPr>
          <w:p w14:paraId="3F6D234A" w14:textId="77777777" w:rsidR="002117B2" w:rsidRDefault="002117B2">
            <w:pPr>
              <w:spacing w:after="0"/>
              <w:ind w:left="2" w:right="2"/>
            </w:pPr>
          </w:p>
        </w:tc>
      </w:tr>
      <w:tr w:rsidR="002117B2" w14:paraId="6229E8A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B7587B9"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66E4BD37"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703BCE4E"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416672AF"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124A703B"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4CC033F1"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04957A59"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75835AFB"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B46474B" w14:textId="77777777" w:rsidR="002117B2" w:rsidRDefault="002117B2">
            <w:pPr>
              <w:spacing w:after="0"/>
              <w:ind w:left="2" w:right="2"/>
            </w:pPr>
          </w:p>
        </w:tc>
      </w:tr>
      <w:tr w:rsidR="002117B2" w14:paraId="128BD508"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CD02C48"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93FB486" w14:textId="77777777" w:rsidR="002117B2" w:rsidRDefault="00616284">
            <w:pPr>
              <w:spacing w:after="0"/>
              <w:ind w:left="2" w:right="2"/>
            </w:pPr>
            <w:r>
              <w:rPr>
                <w:rFonts w:ascii="Calibri" w:eastAsia="Calibri" w:hAnsi="Calibri" w:cs="Calibri"/>
                <w:color w:val="111111"/>
                <w:sz w:val="18"/>
                <w:szCs w:val="18"/>
              </w:rPr>
              <w:t>The underlying problem:</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FD67F2" w14:textId="7F51A9BE" w:rsidR="002117B2" w:rsidRDefault="00616284">
            <w:pPr>
              <w:spacing w:after="0"/>
              <w:ind w:left="2" w:right="2"/>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r>
              <w:rPr>
                <w:rFonts w:ascii="Calibri" w:eastAsia="Calibri" w:hAnsi="Calibri" w:cs="Calibri"/>
                <w:color w:val="111111"/>
                <w:sz w:val="18"/>
                <w:szCs w:val="18"/>
              </w:rPr>
              <w:t xml:space="preserve"> emissions were not included in the NFR 2020, even though last year a revised estimate was provided.</w:t>
            </w:r>
          </w:p>
        </w:tc>
        <w:tc>
          <w:tcPr>
            <w:tcW w:w="216" w:type="dxa"/>
            <w:tcBorders>
              <w:right w:val="single" w:sz="8" w:space="0" w:color="000000"/>
            </w:tcBorders>
            <w:shd w:val="clear" w:color="auto" w:fill="BDD7EE"/>
            <w:tcMar>
              <w:top w:w="0" w:type="dxa"/>
              <w:left w:w="0" w:type="dxa"/>
              <w:bottom w:w="0" w:type="dxa"/>
              <w:right w:w="0" w:type="dxa"/>
            </w:tcMar>
            <w:vAlign w:val="center"/>
          </w:tcPr>
          <w:p w14:paraId="4389A500" w14:textId="77777777" w:rsidR="002117B2" w:rsidRDefault="002117B2">
            <w:pPr>
              <w:spacing w:after="0"/>
              <w:ind w:left="2" w:right="2"/>
            </w:pPr>
          </w:p>
        </w:tc>
      </w:tr>
      <w:tr w:rsidR="002117B2" w14:paraId="1D322D6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9785A31"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928CBD0" w14:textId="77777777" w:rsidR="002117B2" w:rsidRDefault="00616284">
            <w:pPr>
              <w:spacing w:after="0"/>
              <w:ind w:left="2" w:right="2"/>
            </w:pPr>
            <w:r>
              <w:rPr>
                <w:rFonts w:ascii="Calibri" w:eastAsia="Calibri" w:hAnsi="Calibri" w:cs="Calibri"/>
                <w:color w:val="111111"/>
                <w:sz w:val="18"/>
                <w:szCs w:val="18"/>
              </w:rPr>
              <w:t>Summarise the methodology used:</w:t>
            </w:r>
          </w:p>
        </w:tc>
        <w:tc>
          <w:tcPr>
            <w:tcW w:w="636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1FC560" w14:textId="77777777" w:rsidR="002117B2" w:rsidRDefault="00616284">
            <w:pPr>
              <w:spacing w:after="0"/>
              <w:ind w:left="2" w:right="2"/>
            </w:pPr>
            <w:r>
              <w:rPr>
                <w:rFonts w:ascii="Calibri" w:eastAsia="Calibri" w:hAnsi="Calibri" w:cs="Calibri"/>
                <w:color w:val="111111"/>
                <w:sz w:val="18"/>
                <w:szCs w:val="18"/>
              </w:rPr>
              <w:t>Lithuania provided again a revised estimate using Tier 2 emission factor from the EMEP/EEA Guidebook.</w:t>
            </w:r>
          </w:p>
        </w:tc>
        <w:tc>
          <w:tcPr>
            <w:tcW w:w="216" w:type="dxa"/>
            <w:tcBorders>
              <w:right w:val="single" w:sz="8" w:space="0" w:color="000000"/>
            </w:tcBorders>
            <w:shd w:val="clear" w:color="auto" w:fill="BDD7EE"/>
            <w:tcMar>
              <w:top w:w="0" w:type="dxa"/>
              <w:left w:w="0" w:type="dxa"/>
              <w:bottom w:w="0" w:type="dxa"/>
              <w:right w:w="0" w:type="dxa"/>
            </w:tcMar>
            <w:vAlign w:val="center"/>
          </w:tcPr>
          <w:p w14:paraId="76E3D368" w14:textId="77777777" w:rsidR="002117B2" w:rsidRDefault="002117B2">
            <w:pPr>
              <w:spacing w:after="0"/>
              <w:ind w:left="2" w:right="2"/>
            </w:pPr>
          </w:p>
        </w:tc>
      </w:tr>
      <w:tr w:rsidR="002117B2" w14:paraId="307D9DC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9047C32"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2C1D5159"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7BC68C3C"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0AFECFE3"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6C79F521"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1DBDDFA3"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18393261"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654E759F"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0E03526B" w14:textId="77777777" w:rsidR="002117B2" w:rsidRDefault="002117B2">
            <w:pPr>
              <w:spacing w:after="0"/>
              <w:ind w:left="2" w:right="2"/>
            </w:pPr>
          </w:p>
        </w:tc>
      </w:tr>
      <w:tr w:rsidR="002117B2" w14:paraId="493F72CE"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E1B8D86" w14:textId="77777777" w:rsidR="002117B2" w:rsidRDefault="00616284">
            <w:pPr>
              <w:spacing w:after="0"/>
              <w:ind w:left="2" w:right="2"/>
              <w:jc w:val="center"/>
            </w:pPr>
            <w:r>
              <w:rPr>
                <w:rFonts w:ascii="Calibri" w:eastAsia="Calibri" w:hAnsi="Calibri" w:cs="Calibri"/>
                <w:b/>
                <w:color w:val="FFFFFF"/>
                <w:sz w:val="18"/>
                <w:szCs w:val="18"/>
              </w:rPr>
              <w:t>2</w:t>
            </w:r>
          </w:p>
        </w:tc>
        <w:tc>
          <w:tcPr>
            <w:tcW w:w="9143" w:type="dxa"/>
            <w:gridSpan w:val="8"/>
            <w:tcBorders>
              <w:top w:val="single" w:sz="8" w:space="0" w:color="000000"/>
            </w:tcBorders>
            <w:shd w:val="clear" w:color="auto" w:fill="BDD7EE"/>
            <w:tcMar>
              <w:top w:w="0" w:type="dxa"/>
              <w:left w:w="0" w:type="dxa"/>
              <w:bottom w:w="0" w:type="dxa"/>
              <w:right w:w="0" w:type="dxa"/>
            </w:tcMar>
            <w:vAlign w:val="center"/>
          </w:tcPr>
          <w:p w14:paraId="62113587" w14:textId="77777777" w:rsidR="002117B2" w:rsidRDefault="00616284">
            <w:pPr>
              <w:spacing w:after="0"/>
              <w:ind w:left="2" w:right="2"/>
            </w:pPr>
            <w:r>
              <w:rPr>
                <w:rFonts w:ascii="Calibri" w:eastAsia="Calibri" w:hAnsi="Calibri" w:cs="Calibri"/>
                <w:b/>
                <w:color w:val="111111"/>
                <w:sz w:val="18"/>
                <w:szCs w:val="18"/>
              </w:rPr>
              <w:t>Details of the corrected estimate</w:t>
            </w:r>
          </w:p>
        </w:tc>
      </w:tr>
      <w:tr w:rsidR="002117B2" w14:paraId="147DC6F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2241EDB"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5EC07F1D"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9D96749" w14:textId="77777777" w:rsidR="002117B2" w:rsidRDefault="00616284">
            <w:pPr>
              <w:spacing w:after="0"/>
              <w:ind w:left="2" w:right="2"/>
              <w:jc w:val="center"/>
            </w:pPr>
            <w:r>
              <w:rPr>
                <w:rFonts w:ascii="Calibri" w:eastAsia="Calibri" w:hAnsi="Calibri" w:cs="Calibri"/>
                <w:b/>
                <w:color w:val="111111"/>
                <w:sz w:val="18"/>
                <w:szCs w:val="18"/>
              </w:rPr>
              <w:t>Original Estimate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45C16A3"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1BDD511F" w14:textId="77777777" w:rsidR="002117B2" w:rsidRDefault="002117B2">
            <w:pPr>
              <w:spacing w:after="0"/>
              <w:ind w:left="2" w:right="2"/>
              <w:jc w:val="center"/>
            </w:pPr>
          </w:p>
        </w:tc>
      </w:tr>
      <w:tr w:rsidR="002117B2" w14:paraId="1D595C7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845B343"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4FAF584"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AA9C38A" w14:textId="360C2FBA"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DBF3EE7"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CDCFF7C" w14:textId="3677315A"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541EA2C" w14:textId="13009AD5"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CC187AE" w14:textId="788C2DFD"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77EF50E"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7C8BE190" w14:textId="77777777" w:rsidR="002117B2" w:rsidRDefault="002117B2">
            <w:pPr>
              <w:spacing w:after="0"/>
              <w:ind w:left="2" w:right="2"/>
              <w:jc w:val="center"/>
            </w:pPr>
          </w:p>
        </w:tc>
      </w:tr>
      <w:tr w:rsidR="002117B2" w14:paraId="702AAC5A"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83CB3D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BCB456D"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331AA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931B8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945BE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97179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70F82A" w14:textId="77777777" w:rsidR="002117B2" w:rsidRDefault="00616284">
            <w:pPr>
              <w:spacing w:after="0"/>
              <w:ind w:left="2" w:right="2"/>
            </w:pPr>
            <w:r>
              <w:rPr>
                <w:rFonts w:ascii="Calibri" w:eastAsia="Calibri" w:hAnsi="Calibri" w:cs="Calibri"/>
                <w:color w:val="111111"/>
                <w:sz w:val="18"/>
                <w:szCs w:val="18"/>
              </w:rPr>
              <w:t>NA</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ED23D9"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E850557" w14:textId="77777777" w:rsidR="002117B2" w:rsidRDefault="002117B2">
            <w:pPr>
              <w:spacing w:after="0"/>
              <w:ind w:left="2" w:right="2"/>
            </w:pPr>
          </w:p>
        </w:tc>
      </w:tr>
      <w:tr w:rsidR="002117B2" w14:paraId="302FC28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022D90E"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3EDB857"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C5BBA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BD75B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59210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55E57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4FBAE1" w14:textId="77777777" w:rsidR="002117B2" w:rsidRDefault="00616284">
            <w:pPr>
              <w:spacing w:after="0"/>
              <w:ind w:left="2" w:right="2"/>
            </w:pPr>
            <w:r>
              <w:rPr>
                <w:rFonts w:ascii="Calibri" w:eastAsia="Calibri" w:hAnsi="Calibri" w:cs="Calibri"/>
                <w:color w:val="111111"/>
                <w:sz w:val="18"/>
                <w:szCs w:val="18"/>
              </w:rPr>
              <w:t>NA</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C0FE44"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BE736D8" w14:textId="77777777" w:rsidR="002117B2" w:rsidRDefault="002117B2">
            <w:pPr>
              <w:spacing w:after="0"/>
              <w:ind w:left="2" w:right="2"/>
            </w:pPr>
          </w:p>
        </w:tc>
      </w:tr>
      <w:tr w:rsidR="002117B2" w14:paraId="53A6447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3468884"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3EFF0C4"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F46D9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1DF4C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4460D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43FD3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54CF2F" w14:textId="77777777" w:rsidR="002117B2" w:rsidRDefault="00616284">
            <w:pPr>
              <w:spacing w:after="0"/>
              <w:ind w:left="2" w:right="2"/>
            </w:pPr>
            <w:r>
              <w:rPr>
                <w:rFonts w:ascii="Calibri" w:eastAsia="Calibri" w:hAnsi="Calibri" w:cs="Calibri"/>
                <w:color w:val="111111"/>
                <w:sz w:val="18"/>
                <w:szCs w:val="18"/>
              </w:rPr>
              <w:t>NA</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9D397C"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9B303D1" w14:textId="77777777" w:rsidR="002117B2" w:rsidRDefault="002117B2">
            <w:pPr>
              <w:spacing w:after="0"/>
              <w:ind w:left="2" w:right="2"/>
            </w:pPr>
          </w:p>
        </w:tc>
      </w:tr>
      <w:tr w:rsidR="002117B2" w14:paraId="37B5E69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C9E47E7"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F393040"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FCDE1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E1063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B7B74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0010F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96C3B9" w14:textId="77777777" w:rsidR="002117B2" w:rsidRDefault="00616284">
            <w:pPr>
              <w:spacing w:after="0"/>
              <w:ind w:left="2" w:right="2"/>
            </w:pPr>
            <w:r>
              <w:rPr>
                <w:rFonts w:ascii="Calibri" w:eastAsia="Calibri" w:hAnsi="Calibri" w:cs="Calibri"/>
                <w:color w:val="111111"/>
                <w:sz w:val="18"/>
                <w:szCs w:val="18"/>
              </w:rPr>
              <w:t>NA</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DF3F55"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A8DA9BF" w14:textId="77777777" w:rsidR="002117B2" w:rsidRDefault="002117B2">
            <w:pPr>
              <w:spacing w:after="0"/>
              <w:ind w:left="2" w:right="2"/>
            </w:pPr>
          </w:p>
        </w:tc>
      </w:tr>
      <w:tr w:rsidR="002117B2" w14:paraId="5B979D9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85D1A4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6C52E2C"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88F97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D64B6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168E3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5AED3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4B0C8E" w14:textId="77777777" w:rsidR="002117B2" w:rsidRDefault="00616284">
            <w:pPr>
              <w:spacing w:after="0"/>
              <w:ind w:left="2" w:right="2"/>
            </w:pPr>
            <w:r>
              <w:rPr>
                <w:rFonts w:ascii="Calibri" w:eastAsia="Calibri" w:hAnsi="Calibri" w:cs="Calibri"/>
                <w:color w:val="111111"/>
                <w:sz w:val="18"/>
                <w:szCs w:val="18"/>
              </w:rPr>
              <w:t>NA</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2D788E"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E76B8AC" w14:textId="77777777" w:rsidR="002117B2" w:rsidRDefault="002117B2">
            <w:pPr>
              <w:spacing w:after="0"/>
              <w:ind w:left="2" w:right="2"/>
            </w:pPr>
          </w:p>
        </w:tc>
      </w:tr>
      <w:tr w:rsidR="002117B2" w14:paraId="15F239E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284798C"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F37E0B4"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B421F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890DD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E5325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C9451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6D5FFF" w14:textId="77777777" w:rsidR="002117B2" w:rsidRDefault="00616284">
            <w:pPr>
              <w:spacing w:after="0"/>
              <w:ind w:left="2" w:right="2"/>
            </w:pPr>
            <w:r>
              <w:rPr>
                <w:rFonts w:ascii="Calibri" w:eastAsia="Calibri" w:hAnsi="Calibri" w:cs="Calibri"/>
                <w:color w:val="111111"/>
                <w:sz w:val="18"/>
                <w:szCs w:val="18"/>
              </w:rPr>
              <w:t>NA</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089A2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90E557B" w14:textId="77777777" w:rsidR="002117B2" w:rsidRDefault="002117B2">
            <w:pPr>
              <w:spacing w:after="0"/>
              <w:ind w:left="2" w:right="2"/>
            </w:pPr>
          </w:p>
        </w:tc>
      </w:tr>
      <w:tr w:rsidR="002117B2" w14:paraId="34DDA92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8A54F08"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48D5AB24"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4813579F"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29155CE8"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339A0A92"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37945829"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5106DD8F"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0F6E876D"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E4E1739" w14:textId="77777777" w:rsidR="002117B2" w:rsidRDefault="002117B2">
            <w:pPr>
              <w:spacing w:after="0"/>
              <w:ind w:left="2" w:right="2"/>
            </w:pPr>
          </w:p>
        </w:tc>
      </w:tr>
      <w:tr w:rsidR="002117B2" w14:paraId="539C0EB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6AEB633"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6790A07C"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269ACB5" w14:textId="77777777" w:rsidR="002117B2" w:rsidRDefault="00616284">
            <w:pPr>
              <w:spacing w:after="0"/>
              <w:ind w:left="2" w:right="2"/>
              <w:jc w:val="center"/>
            </w:pPr>
            <w:r>
              <w:rPr>
                <w:rFonts w:ascii="Calibri" w:eastAsia="Calibri" w:hAnsi="Calibri" w:cs="Calibri"/>
                <w:b/>
                <w:color w:val="111111"/>
                <w:sz w:val="18"/>
                <w:szCs w:val="18"/>
              </w:rPr>
              <w:t>Revised Estimate received from MS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B1378AB"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5508F496" w14:textId="77777777" w:rsidR="002117B2" w:rsidRDefault="002117B2">
            <w:pPr>
              <w:spacing w:after="0"/>
              <w:ind w:left="2" w:right="2"/>
              <w:jc w:val="center"/>
            </w:pPr>
          </w:p>
        </w:tc>
      </w:tr>
      <w:tr w:rsidR="002117B2" w14:paraId="32C5C98A"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4EE1FE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E49F5EB"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66C29E3" w14:textId="036DEC26"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E8FCA6D"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D556CB9" w14:textId="2B08B52C"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138C6BB" w14:textId="5EE1FDA2"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A2CBF63" w14:textId="3E86A475"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1B70F6F"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56D7E054" w14:textId="77777777" w:rsidR="002117B2" w:rsidRDefault="002117B2">
            <w:pPr>
              <w:spacing w:after="0"/>
              <w:ind w:left="2" w:right="2"/>
              <w:jc w:val="center"/>
            </w:pPr>
          </w:p>
        </w:tc>
      </w:tr>
      <w:tr w:rsidR="002117B2" w14:paraId="48537D9A"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8D1707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5D5AF46"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B1E2E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5B776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00E4C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55031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63E1DF" w14:textId="77777777" w:rsidR="002117B2" w:rsidRDefault="00616284">
            <w:pPr>
              <w:spacing w:after="0"/>
              <w:ind w:left="2" w:right="2"/>
            </w:pPr>
            <w:r>
              <w:rPr>
                <w:rFonts w:ascii="Calibri" w:eastAsia="Calibri" w:hAnsi="Calibri" w:cs="Calibri"/>
                <w:color w:val="111111"/>
                <w:sz w:val="18"/>
                <w:szCs w:val="18"/>
              </w:rPr>
              <w:t>0.001</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DCE60E"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87269D9" w14:textId="77777777" w:rsidR="002117B2" w:rsidRDefault="002117B2">
            <w:pPr>
              <w:spacing w:after="0"/>
              <w:ind w:left="2" w:right="2"/>
            </w:pPr>
          </w:p>
        </w:tc>
      </w:tr>
      <w:tr w:rsidR="002117B2" w14:paraId="02D6270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60659A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CA969C6"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4BCD8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18DD4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EEDFB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08416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C2A7F3" w14:textId="77777777" w:rsidR="002117B2" w:rsidRDefault="00616284">
            <w:pPr>
              <w:spacing w:after="0"/>
              <w:ind w:left="2" w:right="2"/>
            </w:pPr>
            <w:r>
              <w:rPr>
                <w:rFonts w:ascii="Calibri" w:eastAsia="Calibri" w:hAnsi="Calibri" w:cs="Calibri"/>
                <w:color w:val="111111"/>
                <w:sz w:val="18"/>
                <w:szCs w:val="18"/>
              </w:rPr>
              <w:t>0.002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B1D557"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A52500F" w14:textId="77777777" w:rsidR="002117B2" w:rsidRDefault="002117B2">
            <w:pPr>
              <w:spacing w:after="0"/>
              <w:ind w:left="2" w:right="2"/>
            </w:pPr>
          </w:p>
        </w:tc>
      </w:tr>
      <w:tr w:rsidR="002117B2" w14:paraId="6A81661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CA4916F"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06C3143"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AA8AF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A2055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B3B73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88A64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60B256" w14:textId="77777777" w:rsidR="002117B2" w:rsidRDefault="00616284">
            <w:pPr>
              <w:spacing w:after="0"/>
              <w:ind w:left="2" w:right="2"/>
            </w:pPr>
            <w:r>
              <w:rPr>
                <w:rFonts w:ascii="Calibri" w:eastAsia="Calibri" w:hAnsi="Calibri" w:cs="Calibri"/>
                <w:color w:val="111111"/>
                <w:sz w:val="18"/>
                <w:szCs w:val="18"/>
              </w:rPr>
              <w:t>0.002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A66955"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D239E6C" w14:textId="77777777" w:rsidR="002117B2" w:rsidRDefault="002117B2">
            <w:pPr>
              <w:spacing w:after="0"/>
              <w:ind w:left="2" w:right="2"/>
            </w:pPr>
          </w:p>
        </w:tc>
      </w:tr>
      <w:tr w:rsidR="002117B2" w14:paraId="4D5C3E42"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1360D19"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1A126EA"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5EA6A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2BB96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759D1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180C9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A7CE27" w14:textId="77777777" w:rsidR="002117B2" w:rsidRDefault="00616284">
            <w:pPr>
              <w:spacing w:after="0"/>
              <w:ind w:left="2" w:right="2"/>
            </w:pPr>
            <w:r>
              <w:rPr>
                <w:rFonts w:ascii="Calibri" w:eastAsia="Calibri" w:hAnsi="Calibri" w:cs="Calibri"/>
                <w:color w:val="111111"/>
                <w:sz w:val="18"/>
                <w:szCs w:val="18"/>
              </w:rPr>
              <w:t>0.002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9C8B14"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C907818" w14:textId="77777777" w:rsidR="002117B2" w:rsidRDefault="002117B2">
            <w:pPr>
              <w:spacing w:after="0"/>
              <w:ind w:left="2" w:right="2"/>
            </w:pPr>
          </w:p>
        </w:tc>
      </w:tr>
      <w:tr w:rsidR="002117B2" w14:paraId="030E124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6CD4876"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C61B294"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0CBE3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E9435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C8CC2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4CB77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26BB54" w14:textId="77777777" w:rsidR="002117B2" w:rsidRDefault="00616284">
            <w:pPr>
              <w:spacing w:after="0"/>
              <w:ind w:left="2" w:right="2"/>
            </w:pPr>
            <w:r>
              <w:rPr>
                <w:rFonts w:ascii="Calibri" w:eastAsia="Calibri" w:hAnsi="Calibri" w:cs="Calibri"/>
                <w:color w:val="111111"/>
                <w:sz w:val="18"/>
                <w:szCs w:val="18"/>
              </w:rPr>
              <w:t>0.002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ED455B"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E8A849B" w14:textId="77777777" w:rsidR="002117B2" w:rsidRDefault="002117B2">
            <w:pPr>
              <w:spacing w:after="0"/>
              <w:ind w:left="2" w:right="2"/>
            </w:pPr>
          </w:p>
        </w:tc>
      </w:tr>
      <w:tr w:rsidR="002117B2" w14:paraId="1F9103A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DDF7A04"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158D7F4"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6176B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144AD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87ACF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04370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C1096D" w14:textId="77777777" w:rsidR="002117B2" w:rsidRDefault="00616284">
            <w:pPr>
              <w:spacing w:after="0"/>
              <w:ind w:left="2" w:right="2"/>
            </w:pPr>
            <w:r>
              <w:rPr>
                <w:rFonts w:ascii="Calibri" w:eastAsia="Calibri" w:hAnsi="Calibri" w:cs="Calibri"/>
                <w:color w:val="111111"/>
                <w:sz w:val="18"/>
                <w:szCs w:val="18"/>
              </w:rPr>
              <w:t>0.002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935F4E"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FBC22D4" w14:textId="77777777" w:rsidR="002117B2" w:rsidRDefault="002117B2">
            <w:pPr>
              <w:spacing w:after="0"/>
              <w:ind w:left="2" w:right="2"/>
            </w:pPr>
          </w:p>
        </w:tc>
      </w:tr>
      <w:tr w:rsidR="002117B2" w14:paraId="6B171B0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945A8AF"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20650FF4"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6021B6F7"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08750BD5"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0D53A5A7"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5D069EC7" w14:textId="77777777" w:rsidR="002117B2" w:rsidRDefault="002117B2">
            <w:pPr>
              <w:spacing w:after="0"/>
              <w:ind w:left="2" w:right="2"/>
            </w:pPr>
          </w:p>
        </w:tc>
        <w:tc>
          <w:tcPr>
            <w:tcW w:w="1123" w:type="dxa"/>
            <w:shd w:val="clear" w:color="auto" w:fill="BDD7EE"/>
            <w:tcMar>
              <w:top w:w="0" w:type="dxa"/>
              <w:left w:w="0" w:type="dxa"/>
              <w:bottom w:w="0" w:type="dxa"/>
              <w:right w:w="0" w:type="dxa"/>
            </w:tcMar>
            <w:vAlign w:val="center"/>
          </w:tcPr>
          <w:p w14:paraId="62063173"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22A3FDF8"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0852C9DF" w14:textId="77777777" w:rsidR="002117B2" w:rsidRDefault="002117B2">
            <w:pPr>
              <w:spacing w:after="0"/>
              <w:ind w:left="2" w:right="2"/>
            </w:pPr>
          </w:p>
        </w:tc>
      </w:tr>
      <w:tr w:rsidR="002117B2" w14:paraId="2FA06592"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07472B1"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3E60F573"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8B50E14" w14:textId="77777777" w:rsidR="002117B2" w:rsidRDefault="00616284">
            <w:pPr>
              <w:spacing w:after="0"/>
              <w:ind w:left="2" w:right="2"/>
              <w:jc w:val="center"/>
            </w:pPr>
            <w:r>
              <w:rPr>
                <w:rFonts w:ascii="Calibri" w:eastAsia="Calibri" w:hAnsi="Calibri" w:cs="Calibri"/>
                <w:b/>
                <w:color w:val="111111"/>
                <w:sz w:val="18"/>
                <w:szCs w:val="18"/>
              </w:rPr>
              <w:t>Difference between Original Estimate and Revised Estimate (kt)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4E9CBD0"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583CCD64" w14:textId="77777777" w:rsidR="002117B2" w:rsidRDefault="002117B2">
            <w:pPr>
              <w:spacing w:after="0"/>
              <w:ind w:left="2" w:right="2"/>
              <w:jc w:val="center"/>
            </w:pPr>
          </w:p>
        </w:tc>
      </w:tr>
      <w:tr w:rsidR="002117B2" w14:paraId="180A895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7656FA0"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97821F2"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0BB0C12" w14:textId="17DB9E01"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2CAC922"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892F8D6" w14:textId="1393FBB1"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96121A1" w14:textId="14E479BE"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E53E8F1" w14:textId="54B665E7"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41C3C04"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5A3756D1" w14:textId="77777777" w:rsidR="002117B2" w:rsidRDefault="002117B2">
            <w:pPr>
              <w:spacing w:after="0"/>
              <w:ind w:left="2" w:right="2"/>
              <w:jc w:val="center"/>
            </w:pPr>
          </w:p>
        </w:tc>
      </w:tr>
      <w:tr w:rsidR="002117B2" w14:paraId="67C6923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7427F6D"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D1F6FBB"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0E51C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64B22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12B6F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01074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820763" w14:textId="77777777" w:rsidR="002117B2" w:rsidRDefault="00616284">
            <w:pPr>
              <w:spacing w:after="0"/>
              <w:ind w:left="2" w:right="2"/>
            </w:pPr>
            <w:r>
              <w:rPr>
                <w:rFonts w:ascii="Calibri" w:eastAsia="Calibri" w:hAnsi="Calibri" w:cs="Calibri"/>
                <w:color w:val="111111"/>
                <w:sz w:val="18"/>
                <w:szCs w:val="18"/>
              </w:rPr>
              <w:t>0.001</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6248E3"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B932A32" w14:textId="77777777" w:rsidR="002117B2" w:rsidRDefault="002117B2">
            <w:pPr>
              <w:spacing w:after="0"/>
              <w:ind w:left="2" w:right="2"/>
            </w:pPr>
          </w:p>
        </w:tc>
      </w:tr>
      <w:tr w:rsidR="002117B2" w14:paraId="2C033F9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7E3F77C"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F9A3009"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31708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B6F22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7415A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6FD24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E2DE7C" w14:textId="77777777" w:rsidR="002117B2" w:rsidRDefault="00616284">
            <w:pPr>
              <w:spacing w:after="0"/>
              <w:ind w:left="2" w:right="2"/>
            </w:pPr>
            <w:r>
              <w:rPr>
                <w:rFonts w:ascii="Calibri" w:eastAsia="Calibri" w:hAnsi="Calibri" w:cs="Calibri"/>
                <w:color w:val="111111"/>
                <w:sz w:val="18"/>
                <w:szCs w:val="18"/>
              </w:rPr>
              <w:t>0.002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7E1C15"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0C080DBA" w14:textId="77777777" w:rsidR="002117B2" w:rsidRDefault="002117B2">
            <w:pPr>
              <w:spacing w:after="0"/>
              <w:ind w:left="2" w:right="2"/>
            </w:pPr>
          </w:p>
        </w:tc>
      </w:tr>
      <w:tr w:rsidR="002117B2" w14:paraId="5B0128B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3AC0F81"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ADB7472"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0F162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D2913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1AC9A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B69BC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82FD28" w14:textId="77777777" w:rsidR="002117B2" w:rsidRDefault="00616284">
            <w:pPr>
              <w:spacing w:after="0"/>
              <w:ind w:left="2" w:right="2"/>
            </w:pPr>
            <w:r>
              <w:rPr>
                <w:rFonts w:ascii="Calibri" w:eastAsia="Calibri" w:hAnsi="Calibri" w:cs="Calibri"/>
                <w:color w:val="111111"/>
                <w:sz w:val="18"/>
                <w:szCs w:val="18"/>
              </w:rPr>
              <w:t>0.002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36B587"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9DEFF9E" w14:textId="77777777" w:rsidR="002117B2" w:rsidRDefault="002117B2">
            <w:pPr>
              <w:spacing w:after="0"/>
              <w:ind w:left="2" w:right="2"/>
            </w:pPr>
          </w:p>
        </w:tc>
      </w:tr>
      <w:tr w:rsidR="002117B2" w14:paraId="6629115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684BA6B"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CF079F5"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8372B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D5821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EDA16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56950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A13EB7" w14:textId="77777777" w:rsidR="002117B2" w:rsidRDefault="00616284">
            <w:pPr>
              <w:spacing w:after="0"/>
              <w:ind w:left="2" w:right="2"/>
            </w:pPr>
            <w:r>
              <w:rPr>
                <w:rFonts w:ascii="Calibri" w:eastAsia="Calibri" w:hAnsi="Calibri" w:cs="Calibri"/>
                <w:color w:val="111111"/>
                <w:sz w:val="18"/>
                <w:szCs w:val="18"/>
              </w:rPr>
              <w:t>0.002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EFAA01"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259B2B2" w14:textId="77777777" w:rsidR="002117B2" w:rsidRDefault="002117B2">
            <w:pPr>
              <w:spacing w:after="0"/>
              <w:ind w:left="2" w:right="2"/>
            </w:pPr>
          </w:p>
        </w:tc>
      </w:tr>
      <w:tr w:rsidR="002117B2" w14:paraId="2CBA003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08ACC56"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7CDCCA4"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30A1C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BAD58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9DDF5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8E549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4FF6FA" w14:textId="77777777" w:rsidR="002117B2" w:rsidRDefault="00616284">
            <w:pPr>
              <w:spacing w:after="0"/>
              <w:ind w:left="2" w:right="2"/>
            </w:pPr>
            <w:r>
              <w:rPr>
                <w:rFonts w:ascii="Calibri" w:eastAsia="Calibri" w:hAnsi="Calibri" w:cs="Calibri"/>
                <w:color w:val="111111"/>
                <w:sz w:val="18"/>
                <w:szCs w:val="18"/>
              </w:rPr>
              <w:t>0.002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C2B1A8"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F2655E4" w14:textId="77777777" w:rsidR="002117B2" w:rsidRDefault="002117B2">
            <w:pPr>
              <w:spacing w:after="0"/>
              <w:ind w:left="2" w:right="2"/>
            </w:pPr>
          </w:p>
        </w:tc>
      </w:tr>
      <w:tr w:rsidR="002117B2" w14:paraId="1D48AFB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A63515"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14F6C4D"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FAA19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16BD2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62848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845F8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51A85D" w14:textId="77777777" w:rsidR="002117B2" w:rsidRDefault="00616284">
            <w:pPr>
              <w:spacing w:after="0"/>
              <w:ind w:left="2" w:right="2"/>
            </w:pPr>
            <w:r>
              <w:rPr>
                <w:rFonts w:ascii="Calibri" w:eastAsia="Calibri" w:hAnsi="Calibri" w:cs="Calibri"/>
                <w:color w:val="111111"/>
                <w:sz w:val="18"/>
                <w:szCs w:val="18"/>
              </w:rPr>
              <w:t>0.002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B4EE52"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527A744" w14:textId="77777777" w:rsidR="002117B2" w:rsidRDefault="002117B2">
            <w:pPr>
              <w:spacing w:after="0"/>
              <w:ind w:left="2" w:right="2"/>
            </w:pPr>
          </w:p>
        </w:tc>
      </w:tr>
      <w:tr w:rsidR="002117B2" w14:paraId="1CF7E39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8893142"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1233728B"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5ABDEF7F"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4399D366"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7F4FB7FB"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305226C6" w14:textId="77777777" w:rsidR="002117B2" w:rsidRDefault="002117B2">
            <w:pPr>
              <w:spacing w:after="0"/>
              <w:ind w:left="2" w:right="2"/>
            </w:pPr>
          </w:p>
        </w:tc>
        <w:tc>
          <w:tcPr>
            <w:tcW w:w="1123" w:type="dxa"/>
            <w:tcBorders>
              <w:bottom w:val="single" w:sz="8" w:space="0" w:color="000000"/>
            </w:tcBorders>
            <w:shd w:val="clear" w:color="auto" w:fill="BDD7EE"/>
            <w:tcMar>
              <w:top w:w="0" w:type="dxa"/>
              <w:left w:w="0" w:type="dxa"/>
              <w:bottom w:w="0" w:type="dxa"/>
              <w:right w:w="0" w:type="dxa"/>
            </w:tcMar>
            <w:vAlign w:val="center"/>
          </w:tcPr>
          <w:p w14:paraId="5AA646E1"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37FA147C"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0FF09E5C" w14:textId="77777777" w:rsidR="002117B2" w:rsidRDefault="002117B2">
            <w:pPr>
              <w:spacing w:after="0"/>
              <w:ind w:left="2" w:right="2"/>
            </w:pPr>
          </w:p>
        </w:tc>
      </w:tr>
    </w:tbl>
    <w:p w14:paraId="6CE2420F" w14:textId="77777777" w:rsidR="002117B2" w:rsidRDefault="00616284">
      <w:r>
        <w:br w:type="page"/>
      </w:r>
    </w:p>
    <w:tbl>
      <w:tblPr>
        <w:tblW w:w="9629" w:type="dxa"/>
        <w:jc w:val="center"/>
        <w:tblLayout w:type="fixed"/>
        <w:tblLook w:val="0420" w:firstRow="1" w:lastRow="0" w:firstColumn="0" w:lastColumn="0" w:noHBand="0" w:noVBand="1"/>
      </w:tblPr>
      <w:tblGrid>
        <w:gridCol w:w="217"/>
        <w:gridCol w:w="1440"/>
        <w:gridCol w:w="1123"/>
        <w:gridCol w:w="1123"/>
        <w:gridCol w:w="1123"/>
        <w:gridCol w:w="1123"/>
        <w:gridCol w:w="1123"/>
        <w:gridCol w:w="2074"/>
        <w:gridCol w:w="283"/>
      </w:tblGrid>
      <w:tr w:rsidR="002117B2" w14:paraId="6CDD088E" w14:textId="77777777" w:rsidTr="00616284">
        <w:trPr>
          <w:cantSplit/>
          <w:jc w:val="center"/>
        </w:trPr>
        <w:tc>
          <w:tcPr>
            <w:tcW w:w="217"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F0D3A7A" w14:textId="77777777" w:rsidR="002117B2" w:rsidRDefault="00616284">
            <w:pPr>
              <w:spacing w:after="0"/>
              <w:ind w:left="2" w:right="2"/>
              <w:jc w:val="center"/>
            </w:pPr>
            <w:r>
              <w:rPr>
                <w:rFonts w:ascii="Calibri" w:eastAsia="Calibri" w:hAnsi="Calibri" w:cs="Calibri"/>
                <w:b/>
                <w:color w:val="FFFFFF"/>
                <w:sz w:val="18"/>
                <w:szCs w:val="18"/>
              </w:rPr>
              <w:t>1</w:t>
            </w:r>
          </w:p>
        </w:tc>
        <w:tc>
          <w:tcPr>
            <w:tcW w:w="1440" w:type="dxa"/>
            <w:tcBorders>
              <w:top w:val="single" w:sz="8" w:space="0" w:color="000000"/>
            </w:tcBorders>
            <w:shd w:val="clear" w:color="auto" w:fill="BDD7EE"/>
            <w:tcMar>
              <w:top w:w="0" w:type="dxa"/>
              <w:left w:w="0" w:type="dxa"/>
              <w:bottom w:w="0" w:type="dxa"/>
              <w:right w:w="0" w:type="dxa"/>
            </w:tcMar>
            <w:vAlign w:val="center"/>
          </w:tcPr>
          <w:p w14:paraId="79892C10"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1E6C6889"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3FF31A06"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6C3A323E"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0FA65B1B"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7C01C18B" w14:textId="77777777" w:rsidR="002117B2" w:rsidRDefault="002117B2">
            <w:pPr>
              <w:spacing w:after="0"/>
              <w:ind w:left="2" w:right="2"/>
            </w:pPr>
          </w:p>
        </w:tc>
        <w:tc>
          <w:tcPr>
            <w:tcW w:w="2074" w:type="dxa"/>
            <w:tcBorders>
              <w:top w:val="single" w:sz="8" w:space="0" w:color="000000"/>
            </w:tcBorders>
            <w:shd w:val="clear" w:color="auto" w:fill="BDD7EE"/>
            <w:tcMar>
              <w:top w:w="0" w:type="dxa"/>
              <w:left w:w="0" w:type="dxa"/>
              <w:bottom w:w="0" w:type="dxa"/>
              <w:right w:w="0" w:type="dxa"/>
            </w:tcMar>
            <w:vAlign w:val="center"/>
          </w:tcPr>
          <w:p w14:paraId="6A6AEE2D" w14:textId="77777777" w:rsidR="002117B2" w:rsidRDefault="002117B2">
            <w:pPr>
              <w:spacing w:after="0"/>
              <w:ind w:left="2" w:right="2"/>
            </w:pPr>
          </w:p>
        </w:tc>
        <w:tc>
          <w:tcPr>
            <w:tcW w:w="283" w:type="dxa"/>
            <w:tcBorders>
              <w:top w:val="single" w:sz="8" w:space="0" w:color="000000"/>
              <w:right w:val="single" w:sz="8" w:space="0" w:color="000000"/>
            </w:tcBorders>
            <w:shd w:val="clear" w:color="auto" w:fill="BDD7EE"/>
            <w:tcMar>
              <w:top w:w="0" w:type="dxa"/>
              <w:left w:w="0" w:type="dxa"/>
              <w:bottom w:w="0" w:type="dxa"/>
              <w:right w:w="0" w:type="dxa"/>
            </w:tcMar>
            <w:vAlign w:val="center"/>
          </w:tcPr>
          <w:p w14:paraId="234017C8" w14:textId="77777777" w:rsidR="002117B2" w:rsidRDefault="002117B2">
            <w:pPr>
              <w:spacing w:after="0"/>
              <w:ind w:left="2" w:right="2"/>
            </w:pPr>
          </w:p>
        </w:tc>
      </w:tr>
      <w:tr w:rsidR="002117B2" w14:paraId="437E38CC"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9E1290"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93B1C92" w14:textId="77777777" w:rsidR="002117B2" w:rsidRDefault="00616284">
            <w:pPr>
              <w:spacing w:after="0"/>
              <w:ind w:left="2" w:right="2"/>
            </w:pPr>
            <w:r>
              <w:rPr>
                <w:rFonts w:ascii="Calibri" w:eastAsia="Calibri" w:hAnsi="Calibri" w:cs="Calibri"/>
                <w:color w:val="111111"/>
                <w:sz w:val="18"/>
                <w:szCs w:val="18"/>
              </w:rPr>
              <w:t>EMRT ID:</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C3C310" w14:textId="77777777" w:rsidR="002117B2" w:rsidRDefault="00616284">
            <w:pPr>
              <w:spacing w:after="0"/>
              <w:ind w:left="2" w:right="2"/>
            </w:pPr>
            <w:r>
              <w:rPr>
                <w:rFonts w:ascii="Calibri" w:eastAsia="Calibri" w:hAnsi="Calibri" w:cs="Calibri"/>
                <w:color w:val="111111"/>
                <w:sz w:val="18"/>
                <w:szCs w:val="18"/>
              </w:rPr>
              <w:t>LT-3B1a-2020-0001</w:t>
            </w:r>
          </w:p>
        </w:tc>
        <w:tc>
          <w:tcPr>
            <w:tcW w:w="283" w:type="dxa"/>
            <w:tcBorders>
              <w:right w:val="single" w:sz="8" w:space="0" w:color="000000"/>
            </w:tcBorders>
            <w:shd w:val="clear" w:color="auto" w:fill="BDD7EE"/>
            <w:tcMar>
              <w:top w:w="0" w:type="dxa"/>
              <w:left w:w="0" w:type="dxa"/>
              <w:bottom w:w="0" w:type="dxa"/>
              <w:right w:w="0" w:type="dxa"/>
            </w:tcMar>
            <w:vAlign w:val="center"/>
          </w:tcPr>
          <w:p w14:paraId="001F153B" w14:textId="77777777" w:rsidR="002117B2" w:rsidRDefault="002117B2">
            <w:pPr>
              <w:spacing w:after="0"/>
              <w:ind w:left="2" w:right="2"/>
            </w:pPr>
          </w:p>
        </w:tc>
      </w:tr>
      <w:tr w:rsidR="002117B2" w14:paraId="20B8D28E"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C55C513"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1763F65" w14:textId="77777777" w:rsidR="002117B2" w:rsidRDefault="00616284">
            <w:pPr>
              <w:spacing w:after="0"/>
              <w:ind w:left="2" w:right="2"/>
            </w:pPr>
            <w:r>
              <w:rPr>
                <w:rFonts w:ascii="Calibri" w:eastAsia="Calibri" w:hAnsi="Calibri" w:cs="Calibri"/>
                <w:color w:val="111111"/>
                <w:sz w:val="18"/>
                <w:szCs w:val="18"/>
              </w:rPr>
              <w:t>EMRT URL:</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6AE933" w14:textId="77777777" w:rsidR="002117B2" w:rsidRDefault="00616284">
            <w:pPr>
              <w:spacing w:after="0"/>
              <w:ind w:left="2" w:right="2"/>
            </w:pPr>
            <w:r>
              <w:rPr>
                <w:rFonts w:ascii="Calibri" w:eastAsia="Calibri" w:hAnsi="Calibri" w:cs="Calibri"/>
                <w:color w:val="111111"/>
                <w:sz w:val="18"/>
                <w:szCs w:val="18"/>
              </w:rPr>
              <w:t>https://emrt-necd.eionet.europa.eu/2020/LT-3B1a-2020-0001</w:t>
            </w:r>
          </w:p>
        </w:tc>
        <w:tc>
          <w:tcPr>
            <w:tcW w:w="283" w:type="dxa"/>
            <w:tcBorders>
              <w:right w:val="single" w:sz="8" w:space="0" w:color="000000"/>
            </w:tcBorders>
            <w:shd w:val="clear" w:color="auto" w:fill="BDD7EE"/>
            <w:tcMar>
              <w:top w:w="0" w:type="dxa"/>
              <w:left w:w="0" w:type="dxa"/>
              <w:bottom w:w="0" w:type="dxa"/>
              <w:right w:w="0" w:type="dxa"/>
            </w:tcMar>
            <w:vAlign w:val="center"/>
          </w:tcPr>
          <w:p w14:paraId="70810564" w14:textId="77777777" w:rsidR="002117B2" w:rsidRDefault="002117B2">
            <w:pPr>
              <w:spacing w:after="0"/>
              <w:ind w:left="2" w:right="2"/>
            </w:pPr>
          </w:p>
        </w:tc>
      </w:tr>
      <w:tr w:rsidR="002117B2" w14:paraId="76642129"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D724390"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396CB12" w14:textId="77777777" w:rsidR="002117B2" w:rsidRDefault="00616284">
            <w:pPr>
              <w:spacing w:after="0"/>
              <w:ind w:left="2" w:right="2"/>
            </w:pPr>
            <w:r>
              <w:rPr>
                <w:rFonts w:ascii="Calibri" w:eastAsia="Calibri" w:hAnsi="Calibri" w:cs="Calibri"/>
                <w:color w:val="111111"/>
                <w:sz w:val="18"/>
                <w:szCs w:val="18"/>
              </w:rPr>
              <w:t>Member State:</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F950C6" w14:textId="77777777" w:rsidR="002117B2" w:rsidRDefault="00616284">
            <w:pPr>
              <w:spacing w:after="0"/>
              <w:ind w:left="2" w:right="2"/>
            </w:pPr>
            <w:r>
              <w:rPr>
                <w:rFonts w:ascii="Calibri" w:eastAsia="Calibri" w:hAnsi="Calibri" w:cs="Calibri"/>
                <w:color w:val="111111"/>
                <w:sz w:val="18"/>
                <w:szCs w:val="18"/>
              </w:rPr>
              <w:t>Lithuania</w:t>
            </w:r>
          </w:p>
        </w:tc>
        <w:tc>
          <w:tcPr>
            <w:tcW w:w="283" w:type="dxa"/>
            <w:tcBorders>
              <w:right w:val="single" w:sz="8" w:space="0" w:color="000000"/>
            </w:tcBorders>
            <w:shd w:val="clear" w:color="auto" w:fill="BDD7EE"/>
            <w:tcMar>
              <w:top w:w="0" w:type="dxa"/>
              <w:left w:w="0" w:type="dxa"/>
              <w:bottom w:w="0" w:type="dxa"/>
              <w:right w:w="0" w:type="dxa"/>
            </w:tcMar>
            <w:vAlign w:val="center"/>
          </w:tcPr>
          <w:p w14:paraId="299C909A" w14:textId="77777777" w:rsidR="002117B2" w:rsidRDefault="002117B2">
            <w:pPr>
              <w:spacing w:after="0"/>
              <w:ind w:left="2" w:right="2"/>
            </w:pPr>
          </w:p>
        </w:tc>
      </w:tr>
      <w:tr w:rsidR="002117B2" w14:paraId="02D557B9"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A590B17"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50B7275" w14:textId="77777777" w:rsidR="002117B2" w:rsidRDefault="00616284">
            <w:pPr>
              <w:spacing w:after="0"/>
              <w:ind w:left="2" w:right="2"/>
            </w:pPr>
            <w:r>
              <w:rPr>
                <w:rFonts w:ascii="Calibri" w:eastAsia="Calibri" w:hAnsi="Calibri" w:cs="Calibri"/>
                <w:color w:val="111111"/>
                <w:sz w:val="18"/>
                <w:szCs w:val="18"/>
              </w:rPr>
              <w:t>Sector:</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32CB24" w14:textId="45727101" w:rsidR="002117B2" w:rsidRDefault="00616284">
            <w:pPr>
              <w:spacing w:after="0"/>
              <w:ind w:left="2" w:right="2"/>
            </w:pPr>
            <w:r>
              <w:rPr>
                <w:rFonts w:ascii="Calibri" w:eastAsia="Calibri" w:hAnsi="Calibri" w:cs="Calibri"/>
                <w:color w:val="111111"/>
                <w:sz w:val="18"/>
                <w:szCs w:val="18"/>
              </w:rPr>
              <w:t xml:space="preserve">3B1a Manure </w:t>
            </w:r>
            <w:r w:rsidR="00CD02E8">
              <w:rPr>
                <w:rFonts w:ascii="Calibri" w:eastAsia="Calibri" w:hAnsi="Calibri" w:cs="Calibri"/>
                <w:color w:val="111111"/>
                <w:sz w:val="18"/>
                <w:szCs w:val="18"/>
              </w:rPr>
              <w:t xml:space="preserve">Management - </w:t>
            </w:r>
            <w:r>
              <w:rPr>
                <w:rFonts w:ascii="Calibri" w:eastAsia="Calibri" w:hAnsi="Calibri" w:cs="Calibri"/>
                <w:color w:val="111111"/>
                <w:sz w:val="18"/>
                <w:szCs w:val="18"/>
              </w:rPr>
              <w:t xml:space="preserve">Dairy </w:t>
            </w:r>
            <w:r w:rsidR="00CD02E8">
              <w:rPr>
                <w:rFonts w:ascii="Calibri" w:eastAsia="Calibri" w:hAnsi="Calibri" w:cs="Calibri"/>
                <w:color w:val="111111"/>
                <w:sz w:val="18"/>
                <w:szCs w:val="18"/>
              </w:rPr>
              <w:t>Cattle</w:t>
            </w:r>
          </w:p>
        </w:tc>
        <w:tc>
          <w:tcPr>
            <w:tcW w:w="283" w:type="dxa"/>
            <w:tcBorders>
              <w:right w:val="single" w:sz="8" w:space="0" w:color="000000"/>
            </w:tcBorders>
            <w:shd w:val="clear" w:color="auto" w:fill="BDD7EE"/>
            <w:tcMar>
              <w:top w:w="0" w:type="dxa"/>
              <w:left w:w="0" w:type="dxa"/>
              <w:bottom w:w="0" w:type="dxa"/>
              <w:right w:w="0" w:type="dxa"/>
            </w:tcMar>
            <w:vAlign w:val="center"/>
          </w:tcPr>
          <w:p w14:paraId="2EA81FB6" w14:textId="77777777" w:rsidR="002117B2" w:rsidRDefault="002117B2">
            <w:pPr>
              <w:spacing w:after="0"/>
              <w:ind w:left="2" w:right="2"/>
            </w:pPr>
          </w:p>
        </w:tc>
      </w:tr>
      <w:tr w:rsidR="002117B2" w14:paraId="7BA04649"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D92F613"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9F714A5" w14:textId="77777777" w:rsidR="002117B2" w:rsidRDefault="00616284">
            <w:pPr>
              <w:spacing w:after="0"/>
              <w:ind w:left="2" w:right="2"/>
            </w:pPr>
            <w:r>
              <w:rPr>
                <w:rFonts w:ascii="Calibri" w:eastAsia="Calibri" w:hAnsi="Calibri" w:cs="Calibri"/>
                <w:color w:val="111111"/>
                <w:sz w:val="18"/>
                <w:szCs w:val="18"/>
              </w:rPr>
              <w:t>Pollutants:</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DFAAF9" w14:textId="73128920" w:rsidR="002117B2" w:rsidRDefault="00616284">
            <w:pPr>
              <w:spacing w:after="0"/>
              <w:ind w:left="2" w:right="2"/>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283" w:type="dxa"/>
            <w:tcBorders>
              <w:right w:val="single" w:sz="8" w:space="0" w:color="000000"/>
            </w:tcBorders>
            <w:shd w:val="clear" w:color="auto" w:fill="BDD7EE"/>
            <w:tcMar>
              <w:top w:w="0" w:type="dxa"/>
              <w:left w:w="0" w:type="dxa"/>
              <w:bottom w:w="0" w:type="dxa"/>
              <w:right w:w="0" w:type="dxa"/>
            </w:tcMar>
            <w:vAlign w:val="center"/>
          </w:tcPr>
          <w:p w14:paraId="3DAEF2AA" w14:textId="77777777" w:rsidR="002117B2" w:rsidRDefault="002117B2">
            <w:pPr>
              <w:spacing w:after="0"/>
              <w:ind w:left="2" w:right="2"/>
            </w:pPr>
          </w:p>
        </w:tc>
      </w:tr>
      <w:tr w:rsidR="002117B2" w14:paraId="09DE4935"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EB55940"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E2DDA79" w14:textId="77777777" w:rsidR="002117B2" w:rsidRDefault="00616284">
            <w:pPr>
              <w:spacing w:after="0"/>
              <w:ind w:left="2" w:right="2"/>
            </w:pPr>
            <w:r>
              <w:rPr>
                <w:rFonts w:ascii="Calibri" w:eastAsia="Calibri" w:hAnsi="Calibri" w:cs="Calibri"/>
                <w:color w:val="111111"/>
                <w:sz w:val="18"/>
                <w:szCs w:val="18"/>
              </w:rPr>
              <w:t>Completed by (SE):</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230ED9" w14:textId="77777777" w:rsidR="002117B2" w:rsidRDefault="00616284">
            <w:pPr>
              <w:spacing w:after="0"/>
              <w:ind w:left="2" w:right="2"/>
            </w:pPr>
            <w:r>
              <w:rPr>
                <w:rFonts w:ascii="Calibri" w:eastAsia="Calibri" w:hAnsi="Calibri" w:cs="Calibri"/>
                <w:color w:val="111111"/>
                <w:sz w:val="18"/>
                <w:szCs w:val="18"/>
              </w:rPr>
              <w:t>Mette Hjorth Mikkelsen</w:t>
            </w:r>
          </w:p>
        </w:tc>
        <w:tc>
          <w:tcPr>
            <w:tcW w:w="283" w:type="dxa"/>
            <w:tcBorders>
              <w:right w:val="single" w:sz="8" w:space="0" w:color="000000"/>
            </w:tcBorders>
            <w:shd w:val="clear" w:color="auto" w:fill="BDD7EE"/>
            <w:tcMar>
              <w:top w:w="0" w:type="dxa"/>
              <w:left w:w="0" w:type="dxa"/>
              <w:bottom w:w="0" w:type="dxa"/>
              <w:right w:w="0" w:type="dxa"/>
            </w:tcMar>
            <w:vAlign w:val="center"/>
          </w:tcPr>
          <w:p w14:paraId="3BFD9232" w14:textId="77777777" w:rsidR="002117B2" w:rsidRDefault="002117B2">
            <w:pPr>
              <w:spacing w:after="0"/>
              <w:ind w:left="2" w:right="2"/>
            </w:pPr>
          </w:p>
        </w:tc>
      </w:tr>
      <w:tr w:rsidR="002117B2" w14:paraId="11AAE9E7"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FAB1CD8"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27E52D9" w14:textId="77777777" w:rsidR="002117B2" w:rsidRDefault="00616284">
            <w:pPr>
              <w:spacing w:after="0"/>
              <w:ind w:left="2" w:right="2"/>
            </w:pPr>
            <w:r>
              <w:rPr>
                <w:rFonts w:ascii="Calibri" w:eastAsia="Calibri" w:hAnsi="Calibri" w:cs="Calibri"/>
                <w:color w:val="111111"/>
                <w:sz w:val="18"/>
                <w:szCs w:val="18"/>
              </w:rPr>
              <w:t>Reviewed by (LR):</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3D3A81" w14:textId="77777777" w:rsidR="002117B2" w:rsidRDefault="00616284">
            <w:pPr>
              <w:spacing w:after="0"/>
              <w:ind w:left="2" w:right="2"/>
            </w:pPr>
            <w:r>
              <w:rPr>
                <w:rFonts w:ascii="Calibri" w:eastAsia="Calibri" w:hAnsi="Calibri" w:cs="Calibri"/>
                <w:color w:val="111111"/>
                <w:sz w:val="18"/>
                <w:szCs w:val="18"/>
              </w:rPr>
              <w:t>Justin Goodwin</w:t>
            </w:r>
          </w:p>
        </w:tc>
        <w:tc>
          <w:tcPr>
            <w:tcW w:w="283" w:type="dxa"/>
            <w:tcBorders>
              <w:right w:val="single" w:sz="8" w:space="0" w:color="000000"/>
            </w:tcBorders>
            <w:shd w:val="clear" w:color="auto" w:fill="BDD7EE"/>
            <w:tcMar>
              <w:top w:w="0" w:type="dxa"/>
              <w:left w:w="0" w:type="dxa"/>
              <w:bottom w:w="0" w:type="dxa"/>
              <w:right w:w="0" w:type="dxa"/>
            </w:tcMar>
            <w:vAlign w:val="center"/>
          </w:tcPr>
          <w:p w14:paraId="6EFA4160" w14:textId="77777777" w:rsidR="002117B2" w:rsidRDefault="002117B2">
            <w:pPr>
              <w:spacing w:after="0"/>
              <w:ind w:left="2" w:right="2"/>
            </w:pPr>
          </w:p>
        </w:tc>
      </w:tr>
      <w:tr w:rsidR="002117B2" w14:paraId="3EB53295"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4DBF74A"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5AAD0CF" w14:textId="77777777" w:rsidR="002117B2" w:rsidRDefault="00616284">
            <w:pPr>
              <w:spacing w:after="0"/>
              <w:ind w:left="2" w:right="2"/>
            </w:pPr>
            <w:r>
              <w:rPr>
                <w:rFonts w:ascii="Calibri" w:eastAsia="Calibri" w:hAnsi="Calibri" w:cs="Calibri"/>
                <w:color w:val="111111"/>
                <w:sz w:val="18"/>
                <w:szCs w:val="18"/>
              </w:rPr>
              <w:t>Reviewed by (Counterpart):</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1989DC" w14:textId="77777777" w:rsidR="002117B2" w:rsidRDefault="00616284">
            <w:pPr>
              <w:spacing w:after="0"/>
              <w:ind w:left="2" w:right="2"/>
            </w:pPr>
            <w:r>
              <w:rPr>
                <w:rFonts w:ascii="Calibri" w:eastAsia="Calibri" w:hAnsi="Calibri" w:cs="Calibri"/>
                <w:color w:val="111111"/>
                <w:sz w:val="18"/>
                <w:szCs w:val="18"/>
              </w:rPr>
              <w:t>Anais Durand</w:t>
            </w:r>
          </w:p>
        </w:tc>
        <w:tc>
          <w:tcPr>
            <w:tcW w:w="283" w:type="dxa"/>
            <w:tcBorders>
              <w:right w:val="single" w:sz="8" w:space="0" w:color="000000"/>
            </w:tcBorders>
            <w:shd w:val="clear" w:color="auto" w:fill="BDD7EE"/>
            <w:tcMar>
              <w:top w:w="0" w:type="dxa"/>
              <w:left w:w="0" w:type="dxa"/>
              <w:bottom w:w="0" w:type="dxa"/>
              <w:right w:w="0" w:type="dxa"/>
            </w:tcMar>
            <w:vAlign w:val="center"/>
          </w:tcPr>
          <w:p w14:paraId="1FCAB602" w14:textId="77777777" w:rsidR="002117B2" w:rsidRDefault="002117B2">
            <w:pPr>
              <w:spacing w:after="0"/>
              <w:ind w:left="2" w:right="2"/>
            </w:pPr>
          </w:p>
        </w:tc>
      </w:tr>
      <w:tr w:rsidR="002117B2" w14:paraId="15363D2A"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8625F63"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0F229F7" w14:textId="77777777" w:rsidR="002117B2" w:rsidRDefault="00616284">
            <w:pPr>
              <w:spacing w:after="0"/>
              <w:ind w:left="2" w:right="2"/>
            </w:pPr>
            <w:r>
              <w:rPr>
                <w:rFonts w:ascii="Calibri" w:eastAsia="Calibri" w:hAnsi="Calibri" w:cs="Calibri"/>
                <w:color w:val="111111"/>
                <w:sz w:val="18"/>
                <w:szCs w:val="18"/>
              </w:rPr>
              <w:t>Reviewed by (Quality Controller):</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40A9C4" w14:textId="77777777" w:rsidR="002117B2" w:rsidRDefault="00616284">
            <w:pPr>
              <w:spacing w:after="0"/>
              <w:ind w:left="2" w:right="2"/>
            </w:pPr>
            <w:r>
              <w:rPr>
                <w:rFonts w:ascii="Calibri" w:eastAsia="Calibri" w:hAnsi="Calibri" w:cs="Calibri"/>
                <w:color w:val="111111"/>
                <w:sz w:val="18"/>
                <w:szCs w:val="18"/>
              </w:rPr>
              <w:t>Chris Dore</w:t>
            </w:r>
          </w:p>
        </w:tc>
        <w:tc>
          <w:tcPr>
            <w:tcW w:w="283" w:type="dxa"/>
            <w:tcBorders>
              <w:right w:val="single" w:sz="8" w:space="0" w:color="000000"/>
            </w:tcBorders>
            <w:shd w:val="clear" w:color="auto" w:fill="BDD7EE"/>
            <w:tcMar>
              <w:top w:w="0" w:type="dxa"/>
              <w:left w:w="0" w:type="dxa"/>
              <w:bottom w:w="0" w:type="dxa"/>
              <w:right w:w="0" w:type="dxa"/>
            </w:tcMar>
            <w:vAlign w:val="center"/>
          </w:tcPr>
          <w:p w14:paraId="7CBDB784" w14:textId="77777777" w:rsidR="002117B2" w:rsidRDefault="002117B2">
            <w:pPr>
              <w:spacing w:after="0"/>
              <w:ind w:left="2" w:right="2"/>
            </w:pPr>
          </w:p>
        </w:tc>
      </w:tr>
      <w:tr w:rsidR="002117B2" w14:paraId="68488A61"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CD5319F"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79DD97E5"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4519250D"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70AF3D1C"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0DC84FC4"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58A8B797"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5B980E32" w14:textId="77777777" w:rsidR="002117B2" w:rsidRPr="00616284" w:rsidRDefault="002117B2">
            <w:pPr>
              <w:spacing w:after="0"/>
              <w:ind w:left="2" w:right="2"/>
              <w:rPr>
                <w:sz w:val="20"/>
                <w:szCs w:val="20"/>
              </w:rPr>
            </w:pPr>
          </w:p>
        </w:tc>
        <w:tc>
          <w:tcPr>
            <w:tcW w:w="2074" w:type="dxa"/>
            <w:shd w:val="clear" w:color="auto" w:fill="BDD7EE"/>
            <w:tcMar>
              <w:top w:w="0" w:type="dxa"/>
              <w:left w:w="0" w:type="dxa"/>
              <w:bottom w:w="0" w:type="dxa"/>
              <w:right w:w="0" w:type="dxa"/>
            </w:tcMar>
            <w:vAlign w:val="center"/>
          </w:tcPr>
          <w:p w14:paraId="7365750B" w14:textId="77777777" w:rsidR="002117B2" w:rsidRPr="00616284" w:rsidRDefault="002117B2">
            <w:pPr>
              <w:spacing w:after="0"/>
              <w:ind w:left="2" w:right="2"/>
              <w:rPr>
                <w:sz w:val="20"/>
                <w:szCs w:val="20"/>
              </w:rPr>
            </w:pPr>
          </w:p>
        </w:tc>
        <w:tc>
          <w:tcPr>
            <w:tcW w:w="283" w:type="dxa"/>
            <w:tcBorders>
              <w:right w:val="single" w:sz="8" w:space="0" w:color="000000"/>
            </w:tcBorders>
            <w:shd w:val="clear" w:color="auto" w:fill="BDD7EE"/>
            <w:tcMar>
              <w:top w:w="0" w:type="dxa"/>
              <w:left w:w="0" w:type="dxa"/>
              <w:bottom w:w="0" w:type="dxa"/>
              <w:right w:w="0" w:type="dxa"/>
            </w:tcMar>
            <w:vAlign w:val="center"/>
          </w:tcPr>
          <w:p w14:paraId="164821E2" w14:textId="77777777" w:rsidR="002117B2" w:rsidRPr="00616284" w:rsidRDefault="002117B2">
            <w:pPr>
              <w:spacing w:after="0"/>
              <w:ind w:left="2" w:right="2"/>
              <w:rPr>
                <w:sz w:val="20"/>
                <w:szCs w:val="20"/>
              </w:rPr>
            </w:pPr>
          </w:p>
        </w:tc>
      </w:tr>
      <w:tr w:rsidR="002117B2" w14:paraId="57760142"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1F19CAE"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D149933" w14:textId="77777777" w:rsidR="002117B2" w:rsidRDefault="00616284">
            <w:pPr>
              <w:spacing w:after="0"/>
              <w:ind w:left="2" w:right="2"/>
            </w:pPr>
            <w:r>
              <w:rPr>
                <w:rFonts w:ascii="Calibri" w:eastAsia="Calibri" w:hAnsi="Calibri" w:cs="Calibri"/>
                <w:color w:val="111111"/>
                <w:sz w:val="18"/>
                <w:szCs w:val="18"/>
              </w:rPr>
              <w:t>The underlying problem:</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461923" w14:textId="77777777" w:rsidR="002117B2" w:rsidRDefault="00616284">
            <w:pPr>
              <w:spacing w:after="0"/>
              <w:ind w:left="2" w:right="2"/>
            </w:pPr>
            <w:r>
              <w:rPr>
                <w:rFonts w:ascii="Calibri" w:eastAsia="Calibri" w:hAnsi="Calibri" w:cs="Calibri"/>
                <w:color w:val="111111"/>
                <w:sz w:val="18"/>
                <w:szCs w:val="18"/>
              </w:rPr>
              <w:t>Lithuania informed that the emission is based on a  Tier2 calculation, but no information on key parameters (N-exc, MMS and housing days) is given in the IIR and it was not possible during the review to document the calculation reported in submission 2020.</w:t>
            </w:r>
          </w:p>
        </w:tc>
        <w:tc>
          <w:tcPr>
            <w:tcW w:w="283" w:type="dxa"/>
            <w:tcBorders>
              <w:right w:val="single" w:sz="8" w:space="0" w:color="000000"/>
            </w:tcBorders>
            <w:shd w:val="clear" w:color="auto" w:fill="BDD7EE"/>
            <w:tcMar>
              <w:top w:w="0" w:type="dxa"/>
              <w:left w:w="0" w:type="dxa"/>
              <w:bottom w:w="0" w:type="dxa"/>
              <w:right w:w="0" w:type="dxa"/>
            </w:tcMar>
            <w:vAlign w:val="center"/>
          </w:tcPr>
          <w:p w14:paraId="7E3F24DC" w14:textId="77777777" w:rsidR="002117B2" w:rsidRDefault="002117B2">
            <w:pPr>
              <w:spacing w:after="0"/>
              <w:ind w:left="2" w:right="2"/>
            </w:pPr>
          </w:p>
        </w:tc>
      </w:tr>
      <w:tr w:rsidR="002117B2" w14:paraId="6FA277EE"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51B2C32"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E7B7798" w14:textId="77777777" w:rsidR="002117B2" w:rsidRDefault="00616284">
            <w:pPr>
              <w:spacing w:after="0"/>
              <w:ind w:left="2" w:right="2"/>
            </w:pPr>
            <w:r>
              <w:rPr>
                <w:rFonts w:ascii="Calibri" w:eastAsia="Calibri" w:hAnsi="Calibri" w:cs="Calibri"/>
                <w:color w:val="111111"/>
                <w:sz w:val="18"/>
                <w:szCs w:val="18"/>
              </w:rPr>
              <w:t>Summarise the methodology used:</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A7DE9B" w14:textId="600BE7A9" w:rsidR="002117B2" w:rsidRDefault="00616284">
            <w:pPr>
              <w:spacing w:after="0"/>
              <w:ind w:left="2" w:right="2"/>
            </w:pPr>
            <w:r>
              <w:rPr>
                <w:rFonts w:ascii="Calibri" w:eastAsia="Calibri" w:hAnsi="Calibri" w:cs="Calibri"/>
                <w:color w:val="111111"/>
                <w:sz w:val="18"/>
                <w:szCs w:val="18"/>
              </w:rPr>
              <w:t xml:space="preserve">The Lithuania calculation is based on the N-flow tool approach based on equations from the EEA/EMEP GB 2019. National data for number of dairy cattle, N.excretion and </w:t>
            </w:r>
            <w:r w:rsidR="003F6FD9">
              <w:rPr>
                <w:rFonts w:ascii="Calibri" w:eastAsia="Calibri" w:hAnsi="Calibri" w:cs="Calibri"/>
                <w:color w:val="111111"/>
                <w:sz w:val="18"/>
                <w:szCs w:val="18"/>
              </w:rPr>
              <w:t>manure</w:t>
            </w:r>
            <w:r>
              <w:rPr>
                <w:rFonts w:ascii="Calibri" w:eastAsia="Calibri" w:hAnsi="Calibri" w:cs="Calibri"/>
                <w:color w:val="111111"/>
                <w:sz w:val="18"/>
                <w:szCs w:val="18"/>
              </w:rPr>
              <w:t xml:space="preserve"> management system match the number given i CRF Tables submission 2020.</w:t>
            </w:r>
          </w:p>
        </w:tc>
        <w:tc>
          <w:tcPr>
            <w:tcW w:w="283" w:type="dxa"/>
            <w:tcBorders>
              <w:right w:val="single" w:sz="8" w:space="0" w:color="000000"/>
            </w:tcBorders>
            <w:shd w:val="clear" w:color="auto" w:fill="BDD7EE"/>
            <w:tcMar>
              <w:top w:w="0" w:type="dxa"/>
              <w:left w:w="0" w:type="dxa"/>
              <w:bottom w:w="0" w:type="dxa"/>
              <w:right w:w="0" w:type="dxa"/>
            </w:tcMar>
            <w:vAlign w:val="center"/>
          </w:tcPr>
          <w:p w14:paraId="6013B8B9" w14:textId="77777777" w:rsidR="002117B2" w:rsidRDefault="002117B2">
            <w:pPr>
              <w:spacing w:after="0"/>
              <w:ind w:left="2" w:right="2"/>
            </w:pPr>
          </w:p>
        </w:tc>
      </w:tr>
      <w:tr w:rsidR="002117B2" w14:paraId="6DC9E980"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6DFE6C9"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16A59AA4" w14:textId="77777777" w:rsidR="002117B2" w:rsidRPr="00616284"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6A2A5573" w14:textId="77777777" w:rsidR="002117B2" w:rsidRPr="00616284"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751D0EBE" w14:textId="77777777" w:rsidR="002117B2" w:rsidRPr="00616284"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76CB736D" w14:textId="77777777" w:rsidR="002117B2" w:rsidRPr="00616284"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761805B8" w14:textId="77777777" w:rsidR="002117B2" w:rsidRPr="00616284" w:rsidRDefault="002117B2">
            <w:pPr>
              <w:spacing w:after="0"/>
              <w:ind w:left="2" w:right="2"/>
              <w:rPr>
                <w:sz w:val="20"/>
                <w:szCs w:val="20"/>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12A05E0E" w14:textId="77777777" w:rsidR="002117B2" w:rsidRPr="00616284" w:rsidRDefault="002117B2">
            <w:pPr>
              <w:spacing w:after="0"/>
              <w:ind w:left="2" w:right="2"/>
              <w:rPr>
                <w:sz w:val="20"/>
                <w:szCs w:val="20"/>
              </w:rPr>
            </w:pPr>
          </w:p>
        </w:tc>
        <w:tc>
          <w:tcPr>
            <w:tcW w:w="2074" w:type="dxa"/>
            <w:tcBorders>
              <w:bottom w:val="single" w:sz="8" w:space="0" w:color="000000"/>
            </w:tcBorders>
            <w:shd w:val="clear" w:color="auto" w:fill="BDD7EE"/>
            <w:tcMar>
              <w:top w:w="0" w:type="dxa"/>
              <w:left w:w="0" w:type="dxa"/>
              <w:bottom w:w="0" w:type="dxa"/>
              <w:right w:w="0" w:type="dxa"/>
            </w:tcMar>
            <w:vAlign w:val="center"/>
          </w:tcPr>
          <w:p w14:paraId="2D44FC74" w14:textId="77777777" w:rsidR="002117B2" w:rsidRPr="00616284" w:rsidRDefault="002117B2">
            <w:pPr>
              <w:spacing w:after="0"/>
              <w:ind w:left="2" w:right="2"/>
              <w:rPr>
                <w:sz w:val="20"/>
                <w:szCs w:val="20"/>
              </w:rPr>
            </w:pPr>
          </w:p>
        </w:tc>
        <w:tc>
          <w:tcPr>
            <w:tcW w:w="283"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4A95BEEA" w14:textId="77777777" w:rsidR="002117B2" w:rsidRPr="00616284" w:rsidRDefault="002117B2">
            <w:pPr>
              <w:spacing w:after="0"/>
              <w:ind w:left="2" w:right="2"/>
              <w:rPr>
                <w:sz w:val="20"/>
                <w:szCs w:val="20"/>
              </w:rPr>
            </w:pPr>
          </w:p>
        </w:tc>
      </w:tr>
      <w:tr w:rsidR="002117B2" w14:paraId="2AECC40B" w14:textId="77777777" w:rsidTr="00616284">
        <w:trPr>
          <w:cantSplit/>
          <w:jc w:val="center"/>
        </w:trPr>
        <w:tc>
          <w:tcPr>
            <w:tcW w:w="217"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0FD32D" w14:textId="77777777" w:rsidR="002117B2" w:rsidRDefault="00616284">
            <w:pPr>
              <w:spacing w:after="0"/>
              <w:ind w:left="2" w:right="2"/>
              <w:jc w:val="center"/>
            </w:pPr>
            <w:r>
              <w:rPr>
                <w:rFonts w:ascii="Calibri" w:eastAsia="Calibri" w:hAnsi="Calibri" w:cs="Calibri"/>
                <w:b/>
                <w:color w:val="FFFFFF"/>
                <w:sz w:val="18"/>
                <w:szCs w:val="18"/>
              </w:rPr>
              <w:t>2</w:t>
            </w:r>
          </w:p>
        </w:tc>
        <w:tc>
          <w:tcPr>
            <w:tcW w:w="9412" w:type="dxa"/>
            <w:gridSpan w:val="8"/>
            <w:tcBorders>
              <w:top w:val="single" w:sz="8" w:space="0" w:color="000000"/>
            </w:tcBorders>
            <w:shd w:val="clear" w:color="auto" w:fill="BDD7EE"/>
            <w:tcMar>
              <w:top w:w="0" w:type="dxa"/>
              <w:left w:w="0" w:type="dxa"/>
              <w:bottom w:w="0" w:type="dxa"/>
              <w:right w:w="0" w:type="dxa"/>
            </w:tcMar>
            <w:vAlign w:val="center"/>
          </w:tcPr>
          <w:p w14:paraId="582552F7" w14:textId="77777777" w:rsidR="002117B2" w:rsidRDefault="00616284">
            <w:pPr>
              <w:spacing w:after="0"/>
              <w:ind w:left="2" w:right="2"/>
            </w:pPr>
            <w:r>
              <w:rPr>
                <w:rFonts w:ascii="Calibri" w:eastAsia="Calibri" w:hAnsi="Calibri" w:cs="Calibri"/>
                <w:b/>
                <w:color w:val="111111"/>
                <w:sz w:val="18"/>
                <w:szCs w:val="18"/>
              </w:rPr>
              <w:t>Details of the corrected estimate</w:t>
            </w:r>
          </w:p>
        </w:tc>
      </w:tr>
      <w:tr w:rsidR="002117B2" w14:paraId="3EBD4033"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829AC91"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51CE16F5"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A539E80" w14:textId="77777777" w:rsidR="002117B2" w:rsidRDefault="00616284">
            <w:pPr>
              <w:spacing w:after="0"/>
              <w:ind w:left="2" w:right="2"/>
              <w:jc w:val="center"/>
            </w:pPr>
            <w:r>
              <w:rPr>
                <w:rFonts w:ascii="Calibri" w:eastAsia="Calibri" w:hAnsi="Calibri" w:cs="Calibri"/>
                <w:b/>
                <w:color w:val="111111"/>
                <w:sz w:val="18"/>
                <w:szCs w:val="18"/>
              </w:rPr>
              <w:t>Original Estimate (kt)</w:t>
            </w:r>
          </w:p>
        </w:tc>
        <w:tc>
          <w:tcPr>
            <w:tcW w:w="2074"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4F48B1D" w14:textId="77777777" w:rsidR="002117B2" w:rsidRDefault="00616284">
            <w:pPr>
              <w:spacing w:after="0"/>
              <w:ind w:left="2" w:right="2"/>
              <w:jc w:val="center"/>
            </w:pPr>
            <w:r>
              <w:rPr>
                <w:rFonts w:ascii="Calibri" w:eastAsia="Calibri" w:hAnsi="Calibri" w:cs="Calibri"/>
                <w:b/>
                <w:color w:val="111111"/>
                <w:sz w:val="18"/>
                <w:szCs w:val="18"/>
              </w:rPr>
              <w:t>Notes</w:t>
            </w:r>
          </w:p>
        </w:tc>
        <w:tc>
          <w:tcPr>
            <w:tcW w:w="283" w:type="dxa"/>
            <w:tcBorders>
              <w:right w:val="single" w:sz="8" w:space="0" w:color="000000"/>
            </w:tcBorders>
            <w:shd w:val="clear" w:color="auto" w:fill="BDD7EE"/>
            <w:tcMar>
              <w:top w:w="0" w:type="dxa"/>
              <w:left w:w="0" w:type="dxa"/>
              <w:bottom w:w="0" w:type="dxa"/>
              <w:right w:w="0" w:type="dxa"/>
            </w:tcMar>
            <w:vAlign w:val="center"/>
          </w:tcPr>
          <w:p w14:paraId="54899F9E" w14:textId="77777777" w:rsidR="002117B2" w:rsidRDefault="002117B2">
            <w:pPr>
              <w:spacing w:after="0"/>
              <w:ind w:left="2" w:right="2"/>
              <w:jc w:val="center"/>
            </w:pPr>
          </w:p>
        </w:tc>
      </w:tr>
      <w:tr w:rsidR="002117B2" w14:paraId="3B25BAF5"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D54A929"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3EA726C"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4345BB2" w14:textId="19C699E6"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7AE99ED"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053DFE7" w14:textId="336A3D69"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CC193B5" w14:textId="50A97287"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94C6B16" w14:textId="115C23AC"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2074"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3B4E6C9" w14:textId="77777777" w:rsidR="002117B2" w:rsidRDefault="002117B2">
            <w:pPr>
              <w:spacing w:after="0"/>
              <w:ind w:left="2" w:right="2"/>
              <w:jc w:val="center"/>
            </w:pPr>
          </w:p>
        </w:tc>
        <w:tc>
          <w:tcPr>
            <w:tcW w:w="283" w:type="dxa"/>
            <w:tcBorders>
              <w:right w:val="single" w:sz="8" w:space="0" w:color="000000"/>
            </w:tcBorders>
            <w:shd w:val="clear" w:color="auto" w:fill="BDD7EE"/>
            <w:tcMar>
              <w:top w:w="0" w:type="dxa"/>
              <w:left w:w="0" w:type="dxa"/>
              <w:bottom w:w="0" w:type="dxa"/>
              <w:right w:w="0" w:type="dxa"/>
            </w:tcMar>
            <w:vAlign w:val="center"/>
          </w:tcPr>
          <w:p w14:paraId="5E0684E9" w14:textId="77777777" w:rsidR="002117B2" w:rsidRDefault="002117B2">
            <w:pPr>
              <w:spacing w:after="0"/>
              <w:ind w:left="2" w:right="2"/>
              <w:jc w:val="center"/>
            </w:pPr>
          </w:p>
        </w:tc>
      </w:tr>
      <w:tr w:rsidR="002117B2" w14:paraId="287822E6"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1821A74"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73D989F"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150CB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95931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396FB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7F9174" w14:textId="77777777" w:rsidR="002117B2" w:rsidRDefault="00616284">
            <w:pPr>
              <w:spacing w:after="0"/>
              <w:ind w:left="2" w:right="2"/>
            </w:pPr>
            <w:r>
              <w:rPr>
                <w:rFonts w:ascii="Calibri" w:eastAsia="Calibri" w:hAnsi="Calibri" w:cs="Calibri"/>
                <w:color w:val="111111"/>
                <w:sz w:val="18"/>
                <w:szCs w:val="18"/>
              </w:rPr>
              <w:t>2.989</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FBDE0B"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8209BD"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7ABC64E8" w14:textId="77777777" w:rsidR="002117B2" w:rsidRDefault="002117B2">
            <w:pPr>
              <w:spacing w:after="0"/>
              <w:ind w:left="2" w:right="2"/>
            </w:pPr>
          </w:p>
        </w:tc>
      </w:tr>
      <w:tr w:rsidR="002117B2" w14:paraId="335BF680"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3DFACE5"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6F890C7"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D6F5F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A7C0A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95B28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EF07A4" w14:textId="77777777" w:rsidR="002117B2" w:rsidRDefault="00616284">
            <w:pPr>
              <w:spacing w:after="0"/>
              <w:ind w:left="2" w:right="2"/>
            </w:pPr>
            <w:r>
              <w:rPr>
                <w:rFonts w:ascii="Calibri" w:eastAsia="Calibri" w:hAnsi="Calibri" w:cs="Calibri"/>
                <w:color w:val="111111"/>
                <w:sz w:val="18"/>
                <w:szCs w:val="18"/>
              </w:rPr>
              <w:t>2.942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04D834"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E6EA28"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6EB1BAE6" w14:textId="77777777" w:rsidR="002117B2" w:rsidRDefault="002117B2">
            <w:pPr>
              <w:spacing w:after="0"/>
              <w:ind w:left="2" w:right="2"/>
            </w:pPr>
          </w:p>
        </w:tc>
      </w:tr>
      <w:tr w:rsidR="002117B2" w14:paraId="748272A7"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A0C6A88"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95FE208"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6F4C0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C5BEB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32D95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C88413" w14:textId="77777777" w:rsidR="002117B2" w:rsidRDefault="00616284">
            <w:pPr>
              <w:spacing w:after="0"/>
              <w:ind w:left="2" w:right="2"/>
            </w:pPr>
            <w:r>
              <w:rPr>
                <w:rFonts w:ascii="Calibri" w:eastAsia="Calibri" w:hAnsi="Calibri" w:cs="Calibri"/>
                <w:color w:val="111111"/>
                <w:sz w:val="18"/>
                <w:szCs w:val="18"/>
              </w:rPr>
              <w:t>2.848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7F797B"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6466CE"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56C8E83E" w14:textId="77777777" w:rsidR="002117B2" w:rsidRDefault="002117B2">
            <w:pPr>
              <w:spacing w:after="0"/>
              <w:ind w:left="2" w:right="2"/>
            </w:pPr>
          </w:p>
        </w:tc>
      </w:tr>
      <w:tr w:rsidR="002117B2" w14:paraId="48F56446"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B757298"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3BA09DB"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19123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DBB08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10E76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89BCD2" w14:textId="77777777" w:rsidR="002117B2" w:rsidRDefault="00616284">
            <w:pPr>
              <w:spacing w:after="0"/>
              <w:ind w:left="2" w:right="2"/>
            </w:pPr>
            <w:r>
              <w:rPr>
                <w:rFonts w:ascii="Calibri" w:eastAsia="Calibri" w:hAnsi="Calibri" w:cs="Calibri"/>
                <w:color w:val="111111"/>
                <w:sz w:val="18"/>
                <w:szCs w:val="18"/>
              </w:rPr>
              <w:t>2.681</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1DA7CA"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BAF8FA"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0FEE6DC2" w14:textId="77777777" w:rsidR="002117B2" w:rsidRDefault="002117B2">
            <w:pPr>
              <w:spacing w:after="0"/>
              <w:ind w:left="2" w:right="2"/>
            </w:pPr>
          </w:p>
        </w:tc>
      </w:tr>
      <w:tr w:rsidR="002117B2" w14:paraId="436CAAE5"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9149F2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7299CB0"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6CF4C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F6BB2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777B2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BB4314" w14:textId="77777777" w:rsidR="002117B2" w:rsidRDefault="00616284">
            <w:pPr>
              <w:spacing w:after="0"/>
              <w:ind w:left="2" w:right="2"/>
            </w:pPr>
            <w:r>
              <w:rPr>
                <w:rFonts w:ascii="Calibri" w:eastAsia="Calibri" w:hAnsi="Calibri" w:cs="Calibri"/>
                <w:color w:val="111111"/>
                <w:sz w:val="18"/>
                <w:szCs w:val="18"/>
              </w:rPr>
              <w:t>2.591</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0948E7"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3EC2D4"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5EC4EAB3" w14:textId="77777777" w:rsidR="002117B2" w:rsidRDefault="002117B2">
            <w:pPr>
              <w:spacing w:after="0"/>
              <w:ind w:left="2" w:right="2"/>
            </w:pPr>
          </w:p>
        </w:tc>
      </w:tr>
      <w:tr w:rsidR="002117B2" w14:paraId="117710B9"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AE4F32D"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C51D2F8"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177B3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DDCD7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1FE65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D51DA1" w14:textId="77777777" w:rsidR="002117B2" w:rsidRDefault="00616284">
            <w:pPr>
              <w:spacing w:after="0"/>
              <w:ind w:left="2" w:right="2"/>
            </w:pPr>
            <w:r>
              <w:rPr>
                <w:rFonts w:ascii="Calibri" w:eastAsia="Calibri" w:hAnsi="Calibri" w:cs="Calibri"/>
                <w:color w:val="111111"/>
                <w:sz w:val="18"/>
                <w:szCs w:val="18"/>
              </w:rPr>
              <w:t>2.453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DE8AE5"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835220"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15F274C9" w14:textId="77777777" w:rsidR="002117B2" w:rsidRDefault="002117B2">
            <w:pPr>
              <w:spacing w:after="0"/>
              <w:ind w:left="2" w:right="2"/>
            </w:pPr>
          </w:p>
        </w:tc>
      </w:tr>
      <w:tr w:rsidR="002117B2" w14:paraId="2F04A214"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FC94A8C"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083D9F53"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3F15EB0D"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46E71888"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2AA4E5D6"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131200B6"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34B201E9" w14:textId="77777777" w:rsidR="002117B2" w:rsidRPr="00616284" w:rsidRDefault="002117B2">
            <w:pPr>
              <w:spacing w:after="0"/>
              <w:ind w:left="2" w:right="2"/>
              <w:rPr>
                <w:sz w:val="20"/>
                <w:szCs w:val="20"/>
              </w:rPr>
            </w:pPr>
          </w:p>
        </w:tc>
        <w:tc>
          <w:tcPr>
            <w:tcW w:w="2074" w:type="dxa"/>
            <w:shd w:val="clear" w:color="auto" w:fill="BDD7EE"/>
            <w:tcMar>
              <w:top w:w="0" w:type="dxa"/>
              <w:left w:w="0" w:type="dxa"/>
              <w:bottom w:w="0" w:type="dxa"/>
              <w:right w:w="0" w:type="dxa"/>
            </w:tcMar>
            <w:vAlign w:val="center"/>
          </w:tcPr>
          <w:p w14:paraId="2C001F89" w14:textId="77777777" w:rsidR="002117B2" w:rsidRPr="00616284" w:rsidRDefault="002117B2">
            <w:pPr>
              <w:spacing w:after="0"/>
              <w:ind w:left="2" w:right="2"/>
              <w:rPr>
                <w:sz w:val="20"/>
                <w:szCs w:val="20"/>
              </w:rPr>
            </w:pPr>
          </w:p>
        </w:tc>
        <w:tc>
          <w:tcPr>
            <w:tcW w:w="283" w:type="dxa"/>
            <w:tcBorders>
              <w:right w:val="single" w:sz="8" w:space="0" w:color="000000"/>
            </w:tcBorders>
            <w:shd w:val="clear" w:color="auto" w:fill="BDD7EE"/>
            <w:tcMar>
              <w:top w:w="0" w:type="dxa"/>
              <w:left w:w="0" w:type="dxa"/>
              <w:bottom w:w="0" w:type="dxa"/>
              <w:right w:w="0" w:type="dxa"/>
            </w:tcMar>
            <w:vAlign w:val="center"/>
          </w:tcPr>
          <w:p w14:paraId="1BC6A715" w14:textId="77777777" w:rsidR="002117B2" w:rsidRPr="00616284" w:rsidRDefault="002117B2">
            <w:pPr>
              <w:spacing w:after="0"/>
              <w:ind w:left="2" w:right="2"/>
              <w:rPr>
                <w:sz w:val="20"/>
                <w:szCs w:val="20"/>
              </w:rPr>
            </w:pPr>
          </w:p>
        </w:tc>
      </w:tr>
      <w:tr w:rsidR="002117B2" w14:paraId="650D1CAA"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FCA9DC0"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7B12A956"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5F7393D" w14:textId="77777777" w:rsidR="002117B2" w:rsidRDefault="00616284">
            <w:pPr>
              <w:spacing w:after="0"/>
              <w:ind w:left="2" w:right="2"/>
              <w:jc w:val="center"/>
            </w:pPr>
            <w:r>
              <w:rPr>
                <w:rFonts w:ascii="Calibri" w:eastAsia="Calibri" w:hAnsi="Calibri" w:cs="Calibri"/>
                <w:b/>
                <w:color w:val="111111"/>
                <w:sz w:val="18"/>
                <w:szCs w:val="18"/>
              </w:rPr>
              <w:t>Revised Estimate received from MS (kt)</w:t>
            </w:r>
          </w:p>
        </w:tc>
        <w:tc>
          <w:tcPr>
            <w:tcW w:w="2074"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85B8957" w14:textId="77777777" w:rsidR="002117B2" w:rsidRDefault="00616284">
            <w:pPr>
              <w:spacing w:after="0"/>
              <w:ind w:left="2" w:right="2"/>
              <w:jc w:val="center"/>
            </w:pPr>
            <w:r>
              <w:rPr>
                <w:rFonts w:ascii="Calibri" w:eastAsia="Calibri" w:hAnsi="Calibri" w:cs="Calibri"/>
                <w:b/>
                <w:color w:val="111111"/>
                <w:sz w:val="18"/>
                <w:szCs w:val="18"/>
              </w:rPr>
              <w:t>Notes</w:t>
            </w:r>
          </w:p>
        </w:tc>
        <w:tc>
          <w:tcPr>
            <w:tcW w:w="283" w:type="dxa"/>
            <w:tcBorders>
              <w:right w:val="single" w:sz="8" w:space="0" w:color="000000"/>
            </w:tcBorders>
            <w:shd w:val="clear" w:color="auto" w:fill="BDD7EE"/>
            <w:tcMar>
              <w:top w:w="0" w:type="dxa"/>
              <w:left w:w="0" w:type="dxa"/>
              <w:bottom w:w="0" w:type="dxa"/>
              <w:right w:w="0" w:type="dxa"/>
            </w:tcMar>
            <w:vAlign w:val="center"/>
          </w:tcPr>
          <w:p w14:paraId="7AB0A093" w14:textId="77777777" w:rsidR="002117B2" w:rsidRDefault="002117B2">
            <w:pPr>
              <w:spacing w:after="0"/>
              <w:ind w:left="2" w:right="2"/>
              <w:jc w:val="center"/>
            </w:pPr>
          </w:p>
        </w:tc>
      </w:tr>
      <w:tr w:rsidR="002117B2" w14:paraId="6BDF6B4D"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31189F0"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2E59069"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BE1C5EB" w14:textId="00363068"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F727D91"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6482288" w14:textId="7F37887B"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86182D0" w14:textId="5DB27B00"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FE4435F" w14:textId="746C86B9"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2074"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2F97D3C" w14:textId="77777777" w:rsidR="002117B2" w:rsidRDefault="002117B2">
            <w:pPr>
              <w:spacing w:after="0"/>
              <w:ind w:left="2" w:right="2"/>
              <w:jc w:val="center"/>
            </w:pPr>
          </w:p>
        </w:tc>
        <w:tc>
          <w:tcPr>
            <w:tcW w:w="283" w:type="dxa"/>
            <w:tcBorders>
              <w:right w:val="single" w:sz="8" w:space="0" w:color="000000"/>
            </w:tcBorders>
            <w:shd w:val="clear" w:color="auto" w:fill="BDD7EE"/>
            <w:tcMar>
              <w:top w:w="0" w:type="dxa"/>
              <w:left w:w="0" w:type="dxa"/>
              <w:bottom w:w="0" w:type="dxa"/>
              <w:right w:w="0" w:type="dxa"/>
            </w:tcMar>
            <w:vAlign w:val="center"/>
          </w:tcPr>
          <w:p w14:paraId="68464C06" w14:textId="77777777" w:rsidR="002117B2" w:rsidRDefault="002117B2">
            <w:pPr>
              <w:spacing w:after="0"/>
              <w:ind w:left="2" w:right="2"/>
              <w:jc w:val="center"/>
            </w:pPr>
          </w:p>
        </w:tc>
      </w:tr>
      <w:tr w:rsidR="002117B2" w14:paraId="0E452DBD"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524631A"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FFADFA6"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6298E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8FC4B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7A2CD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173330" w14:textId="77777777" w:rsidR="002117B2" w:rsidRDefault="00616284">
            <w:pPr>
              <w:spacing w:after="0"/>
              <w:ind w:left="2" w:right="2"/>
            </w:pPr>
            <w:r>
              <w:rPr>
                <w:rFonts w:ascii="Calibri" w:eastAsia="Calibri" w:hAnsi="Calibri" w:cs="Calibri"/>
                <w:color w:val="111111"/>
                <w:sz w:val="18"/>
                <w:szCs w:val="18"/>
              </w:rPr>
              <w:t>4.355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136E4F"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7BBD8A"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3223461A" w14:textId="77777777" w:rsidR="002117B2" w:rsidRDefault="002117B2">
            <w:pPr>
              <w:spacing w:after="0"/>
              <w:ind w:left="2" w:right="2"/>
            </w:pPr>
          </w:p>
        </w:tc>
      </w:tr>
      <w:tr w:rsidR="002117B2" w14:paraId="26F181CC"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EF85A6B"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8B17B88"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DD073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6BB28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AC0F1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CC252C" w14:textId="77777777" w:rsidR="002117B2" w:rsidRDefault="00616284">
            <w:pPr>
              <w:spacing w:after="0"/>
              <w:ind w:left="2" w:right="2"/>
            </w:pPr>
            <w:r>
              <w:rPr>
                <w:rFonts w:ascii="Calibri" w:eastAsia="Calibri" w:hAnsi="Calibri" w:cs="Calibri"/>
                <w:color w:val="111111"/>
                <w:sz w:val="18"/>
                <w:szCs w:val="18"/>
              </w:rPr>
              <w:t>4.243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BAE2D2"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9C8A52"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40736B8B" w14:textId="77777777" w:rsidR="002117B2" w:rsidRDefault="002117B2">
            <w:pPr>
              <w:spacing w:after="0"/>
              <w:ind w:left="2" w:right="2"/>
            </w:pPr>
          </w:p>
        </w:tc>
      </w:tr>
      <w:tr w:rsidR="002117B2" w14:paraId="6F0B5A29"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A0D41D5"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9A3503D"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49EF0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64BD1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B6B60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721DDC" w14:textId="77777777" w:rsidR="002117B2" w:rsidRDefault="00616284">
            <w:pPr>
              <w:spacing w:after="0"/>
              <w:ind w:left="2" w:right="2"/>
            </w:pPr>
            <w:r>
              <w:rPr>
                <w:rFonts w:ascii="Calibri" w:eastAsia="Calibri" w:hAnsi="Calibri" w:cs="Calibri"/>
                <w:color w:val="111111"/>
                <w:sz w:val="18"/>
                <w:szCs w:val="18"/>
              </w:rPr>
              <w:t>4.073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F0494D"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38FAA6"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44F46674" w14:textId="77777777" w:rsidR="002117B2" w:rsidRDefault="002117B2">
            <w:pPr>
              <w:spacing w:after="0"/>
              <w:ind w:left="2" w:right="2"/>
            </w:pPr>
          </w:p>
        </w:tc>
      </w:tr>
      <w:tr w:rsidR="002117B2" w14:paraId="33BC492B"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18ED7EC"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FFE4A7A"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7C310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723D4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A49A5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C0D5A3" w14:textId="77777777" w:rsidR="002117B2" w:rsidRDefault="00616284">
            <w:pPr>
              <w:spacing w:after="0"/>
              <w:ind w:left="2" w:right="2"/>
            </w:pPr>
            <w:r>
              <w:rPr>
                <w:rFonts w:ascii="Calibri" w:eastAsia="Calibri" w:hAnsi="Calibri" w:cs="Calibri"/>
                <w:color w:val="111111"/>
                <w:sz w:val="18"/>
                <w:szCs w:val="18"/>
              </w:rPr>
              <w:t>3.829</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D0C19C"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A026A8"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0FF7E296" w14:textId="77777777" w:rsidR="002117B2" w:rsidRDefault="002117B2">
            <w:pPr>
              <w:spacing w:after="0"/>
              <w:ind w:left="2" w:right="2"/>
            </w:pPr>
          </w:p>
        </w:tc>
      </w:tr>
      <w:tr w:rsidR="002117B2" w14:paraId="46EF17DB"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94FC4B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439C4D7"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4166B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0D4E1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78E41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D391EF" w14:textId="77777777" w:rsidR="002117B2" w:rsidRDefault="00616284">
            <w:pPr>
              <w:spacing w:after="0"/>
              <w:ind w:left="2" w:right="2"/>
            </w:pPr>
            <w:r>
              <w:rPr>
                <w:rFonts w:ascii="Calibri" w:eastAsia="Calibri" w:hAnsi="Calibri" w:cs="Calibri"/>
                <w:color w:val="111111"/>
                <w:sz w:val="18"/>
                <w:szCs w:val="18"/>
              </w:rPr>
              <w:t>3.693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926B99"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368407"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3173EA45" w14:textId="77777777" w:rsidR="002117B2" w:rsidRDefault="002117B2">
            <w:pPr>
              <w:spacing w:after="0"/>
              <w:ind w:left="2" w:right="2"/>
            </w:pPr>
          </w:p>
        </w:tc>
      </w:tr>
      <w:tr w:rsidR="002117B2" w14:paraId="5309B825"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D730EA3"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2057A81"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3960E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4881E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AC1C9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D08938" w14:textId="77777777" w:rsidR="002117B2" w:rsidRDefault="00616284">
            <w:pPr>
              <w:spacing w:after="0"/>
              <w:ind w:left="2" w:right="2"/>
            </w:pPr>
            <w:r>
              <w:rPr>
                <w:rFonts w:ascii="Calibri" w:eastAsia="Calibri" w:hAnsi="Calibri" w:cs="Calibri"/>
                <w:color w:val="111111"/>
                <w:sz w:val="18"/>
                <w:szCs w:val="18"/>
              </w:rPr>
              <w:t>3.655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2CF911"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5BE535"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4F74E889" w14:textId="77777777" w:rsidR="002117B2" w:rsidRDefault="002117B2">
            <w:pPr>
              <w:spacing w:after="0"/>
              <w:ind w:left="2" w:right="2"/>
            </w:pPr>
          </w:p>
        </w:tc>
      </w:tr>
      <w:tr w:rsidR="002117B2" w14:paraId="05226304"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6EA3E41"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53632325"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1D4832FC"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75D8C0A4"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17633E47"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5558F672" w14:textId="77777777" w:rsidR="002117B2" w:rsidRPr="00616284" w:rsidRDefault="002117B2">
            <w:pPr>
              <w:spacing w:after="0"/>
              <w:ind w:left="2" w:right="2"/>
              <w:rPr>
                <w:sz w:val="20"/>
                <w:szCs w:val="20"/>
              </w:rPr>
            </w:pPr>
          </w:p>
        </w:tc>
        <w:tc>
          <w:tcPr>
            <w:tcW w:w="1123" w:type="dxa"/>
            <w:shd w:val="clear" w:color="auto" w:fill="BDD7EE"/>
            <w:tcMar>
              <w:top w:w="0" w:type="dxa"/>
              <w:left w:w="0" w:type="dxa"/>
              <w:bottom w:w="0" w:type="dxa"/>
              <w:right w:w="0" w:type="dxa"/>
            </w:tcMar>
            <w:vAlign w:val="center"/>
          </w:tcPr>
          <w:p w14:paraId="50F34649" w14:textId="77777777" w:rsidR="002117B2" w:rsidRPr="00616284" w:rsidRDefault="002117B2">
            <w:pPr>
              <w:spacing w:after="0"/>
              <w:ind w:left="2" w:right="2"/>
              <w:rPr>
                <w:sz w:val="20"/>
                <w:szCs w:val="20"/>
              </w:rPr>
            </w:pPr>
          </w:p>
        </w:tc>
        <w:tc>
          <w:tcPr>
            <w:tcW w:w="2074" w:type="dxa"/>
            <w:shd w:val="clear" w:color="auto" w:fill="BDD7EE"/>
            <w:tcMar>
              <w:top w:w="0" w:type="dxa"/>
              <w:left w:w="0" w:type="dxa"/>
              <w:bottom w:w="0" w:type="dxa"/>
              <w:right w:w="0" w:type="dxa"/>
            </w:tcMar>
            <w:vAlign w:val="center"/>
          </w:tcPr>
          <w:p w14:paraId="1FDC3451" w14:textId="77777777" w:rsidR="002117B2" w:rsidRPr="00616284" w:rsidRDefault="002117B2">
            <w:pPr>
              <w:spacing w:after="0"/>
              <w:ind w:left="2" w:right="2"/>
              <w:rPr>
                <w:sz w:val="20"/>
                <w:szCs w:val="20"/>
              </w:rPr>
            </w:pPr>
          </w:p>
        </w:tc>
        <w:tc>
          <w:tcPr>
            <w:tcW w:w="283" w:type="dxa"/>
            <w:tcBorders>
              <w:right w:val="single" w:sz="8" w:space="0" w:color="000000"/>
            </w:tcBorders>
            <w:shd w:val="clear" w:color="auto" w:fill="BDD7EE"/>
            <w:tcMar>
              <w:top w:w="0" w:type="dxa"/>
              <w:left w:w="0" w:type="dxa"/>
              <w:bottom w:w="0" w:type="dxa"/>
              <w:right w:w="0" w:type="dxa"/>
            </w:tcMar>
            <w:vAlign w:val="center"/>
          </w:tcPr>
          <w:p w14:paraId="5DCFBA13" w14:textId="77777777" w:rsidR="002117B2" w:rsidRPr="00616284" w:rsidRDefault="002117B2">
            <w:pPr>
              <w:spacing w:after="0"/>
              <w:ind w:left="2" w:right="2"/>
              <w:rPr>
                <w:sz w:val="20"/>
                <w:szCs w:val="20"/>
              </w:rPr>
            </w:pPr>
          </w:p>
        </w:tc>
      </w:tr>
      <w:tr w:rsidR="002117B2" w14:paraId="5F7E3D12"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33D4A73"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315DE7E2"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A95953A" w14:textId="77777777" w:rsidR="002117B2" w:rsidRDefault="00616284">
            <w:pPr>
              <w:spacing w:after="0"/>
              <w:ind w:left="2" w:right="2"/>
              <w:jc w:val="center"/>
            </w:pPr>
            <w:r>
              <w:rPr>
                <w:rFonts w:ascii="Calibri" w:eastAsia="Calibri" w:hAnsi="Calibri" w:cs="Calibri"/>
                <w:b/>
                <w:color w:val="111111"/>
                <w:sz w:val="18"/>
                <w:szCs w:val="18"/>
              </w:rPr>
              <w:t>Difference between Original Estimate and Revised Estimate (kt)</w:t>
            </w:r>
          </w:p>
        </w:tc>
        <w:tc>
          <w:tcPr>
            <w:tcW w:w="2074"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78AC0E3" w14:textId="77777777" w:rsidR="002117B2" w:rsidRDefault="00616284">
            <w:pPr>
              <w:spacing w:after="0"/>
              <w:ind w:left="2" w:right="2"/>
              <w:jc w:val="center"/>
            </w:pPr>
            <w:r>
              <w:rPr>
                <w:rFonts w:ascii="Calibri" w:eastAsia="Calibri" w:hAnsi="Calibri" w:cs="Calibri"/>
                <w:b/>
                <w:color w:val="111111"/>
                <w:sz w:val="18"/>
                <w:szCs w:val="18"/>
              </w:rPr>
              <w:t>Notes</w:t>
            </w:r>
          </w:p>
        </w:tc>
        <w:tc>
          <w:tcPr>
            <w:tcW w:w="283" w:type="dxa"/>
            <w:tcBorders>
              <w:right w:val="single" w:sz="8" w:space="0" w:color="000000"/>
            </w:tcBorders>
            <w:shd w:val="clear" w:color="auto" w:fill="BDD7EE"/>
            <w:tcMar>
              <w:top w:w="0" w:type="dxa"/>
              <w:left w:w="0" w:type="dxa"/>
              <w:bottom w:w="0" w:type="dxa"/>
              <w:right w:w="0" w:type="dxa"/>
            </w:tcMar>
            <w:vAlign w:val="center"/>
          </w:tcPr>
          <w:p w14:paraId="0116B72F" w14:textId="77777777" w:rsidR="002117B2" w:rsidRDefault="002117B2">
            <w:pPr>
              <w:spacing w:after="0"/>
              <w:ind w:left="2" w:right="2"/>
              <w:jc w:val="center"/>
            </w:pPr>
          </w:p>
        </w:tc>
      </w:tr>
      <w:tr w:rsidR="002117B2" w14:paraId="591AADEE"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8F9C1D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08D51E7"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88C0918" w14:textId="2487DB22"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F45D96D"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5B3003E" w14:textId="778E2FA0"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F1D159A" w14:textId="76521FFC"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9D28EEE" w14:textId="0550469B"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2074"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DC2466F" w14:textId="77777777" w:rsidR="002117B2" w:rsidRDefault="002117B2">
            <w:pPr>
              <w:spacing w:after="0"/>
              <w:ind w:left="2" w:right="2"/>
              <w:jc w:val="center"/>
            </w:pPr>
          </w:p>
        </w:tc>
        <w:tc>
          <w:tcPr>
            <w:tcW w:w="283" w:type="dxa"/>
            <w:tcBorders>
              <w:right w:val="single" w:sz="8" w:space="0" w:color="000000"/>
            </w:tcBorders>
            <w:shd w:val="clear" w:color="auto" w:fill="BDD7EE"/>
            <w:tcMar>
              <w:top w:w="0" w:type="dxa"/>
              <w:left w:w="0" w:type="dxa"/>
              <w:bottom w:w="0" w:type="dxa"/>
              <w:right w:w="0" w:type="dxa"/>
            </w:tcMar>
            <w:vAlign w:val="center"/>
          </w:tcPr>
          <w:p w14:paraId="4114E179" w14:textId="77777777" w:rsidR="002117B2" w:rsidRDefault="002117B2">
            <w:pPr>
              <w:spacing w:after="0"/>
              <w:ind w:left="2" w:right="2"/>
              <w:jc w:val="center"/>
            </w:pPr>
          </w:p>
        </w:tc>
      </w:tr>
      <w:tr w:rsidR="002117B2" w14:paraId="69292B0C"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F8F6E88"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C9046E6"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FCCA2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E544D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8DD46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19479B" w14:textId="77777777" w:rsidR="002117B2" w:rsidRDefault="00616284">
            <w:pPr>
              <w:spacing w:after="0"/>
              <w:ind w:left="2" w:right="2"/>
            </w:pPr>
            <w:r>
              <w:rPr>
                <w:rFonts w:ascii="Calibri" w:eastAsia="Calibri" w:hAnsi="Calibri" w:cs="Calibri"/>
                <w:color w:val="111111"/>
                <w:sz w:val="18"/>
                <w:szCs w:val="18"/>
              </w:rPr>
              <w:t>1.366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DCF241"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468580"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067C49D5" w14:textId="77777777" w:rsidR="002117B2" w:rsidRDefault="002117B2">
            <w:pPr>
              <w:spacing w:after="0"/>
              <w:ind w:left="2" w:right="2"/>
            </w:pPr>
          </w:p>
        </w:tc>
      </w:tr>
      <w:tr w:rsidR="002117B2" w14:paraId="6AD215BE"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B654DD0"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8671854"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1D1A6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8B54C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407BA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D4D7BD" w14:textId="77777777" w:rsidR="002117B2" w:rsidRDefault="00616284">
            <w:pPr>
              <w:spacing w:after="0"/>
              <w:ind w:left="2" w:right="2"/>
            </w:pPr>
            <w:r>
              <w:rPr>
                <w:rFonts w:ascii="Calibri" w:eastAsia="Calibri" w:hAnsi="Calibri" w:cs="Calibri"/>
                <w:color w:val="111111"/>
                <w:sz w:val="18"/>
                <w:szCs w:val="18"/>
              </w:rPr>
              <w:t>1.300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65434D"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D3D26B"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053C0680" w14:textId="77777777" w:rsidR="002117B2" w:rsidRDefault="002117B2">
            <w:pPr>
              <w:spacing w:after="0"/>
              <w:ind w:left="2" w:right="2"/>
            </w:pPr>
          </w:p>
        </w:tc>
      </w:tr>
      <w:tr w:rsidR="002117B2" w14:paraId="2734D1A6"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8991189"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34283D2"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C7DAF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28211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8AC77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125AEC" w14:textId="77777777" w:rsidR="002117B2" w:rsidRDefault="00616284">
            <w:pPr>
              <w:spacing w:after="0"/>
              <w:ind w:left="2" w:right="2"/>
            </w:pPr>
            <w:r>
              <w:rPr>
                <w:rFonts w:ascii="Calibri" w:eastAsia="Calibri" w:hAnsi="Calibri" w:cs="Calibri"/>
                <w:color w:val="111111"/>
                <w:sz w:val="18"/>
                <w:szCs w:val="18"/>
              </w:rPr>
              <w:t>1.224</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36E8E6"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919F3C"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7996BF46" w14:textId="77777777" w:rsidR="002117B2" w:rsidRDefault="002117B2">
            <w:pPr>
              <w:spacing w:after="0"/>
              <w:ind w:left="2" w:right="2"/>
            </w:pPr>
          </w:p>
        </w:tc>
      </w:tr>
      <w:tr w:rsidR="002117B2" w14:paraId="47609CC2"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05B9277"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40EABCF"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E1F01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C4EF5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1F751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DAD315" w14:textId="77777777" w:rsidR="002117B2" w:rsidRDefault="00616284">
            <w:pPr>
              <w:spacing w:after="0"/>
              <w:ind w:left="2" w:right="2"/>
            </w:pPr>
            <w:r>
              <w:rPr>
                <w:rFonts w:ascii="Calibri" w:eastAsia="Calibri" w:hAnsi="Calibri" w:cs="Calibri"/>
                <w:color w:val="111111"/>
                <w:sz w:val="18"/>
                <w:szCs w:val="18"/>
              </w:rPr>
              <w:t>1.148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E0B886"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13DC19"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73EF88D1" w14:textId="77777777" w:rsidR="002117B2" w:rsidRDefault="002117B2">
            <w:pPr>
              <w:spacing w:after="0"/>
              <w:ind w:left="2" w:right="2"/>
            </w:pPr>
          </w:p>
        </w:tc>
      </w:tr>
      <w:tr w:rsidR="002117B2" w14:paraId="0374EB40"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06A886E"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200C883"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1940A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D2124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13C57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8B75B7" w14:textId="77777777" w:rsidR="002117B2" w:rsidRDefault="00616284">
            <w:pPr>
              <w:spacing w:after="0"/>
              <w:ind w:left="2" w:right="2"/>
            </w:pPr>
            <w:r>
              <w:rPr>
                <w:rFonts w:ascii="Calibri" w:eastAsia="Calibri" w:hAnsi="Calibri" w:cs="Calibri"/>
                <w:color w:val="111111"/>
                <w:sz w:val="18"/>
                <w:szCs w:val="18"/>
              </w:rPr>
              <w:t>1.103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2FE79C"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D54EE0"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603F9CF2" w14:textId="77777777" w:rsidR="002117B2" w:rsidRDefault="002117B2">
            <w:pPr>
              <w:spacing w:after="0"/>
              <w:ind w:left="2" w:right="2"/>
            </w:pPr>
          </w:p>
        </w:tc>
      </w:tr>
      <w:tr w:rsidR="002117B2" w14:paraId="459311A2"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771A8FA"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E6C578A"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66FF0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51BA3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614BD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A81122" w14:textId="77777777" w:rsidR="002117B2" w:rsidRDefault="00616284">
            <w:pPr>
              <w:spacing w:after="0"/>
              <w:ind w:left="2" w:right="2"/>
            </w:pPr>
            <w:r>
              <w:rPr>
                <w:rFonts w:ascii="Calibri" w:eastAsia="Calibri" w:hAnsi="Calibri" w:cs="Calibri"/>
                <w:color w:val="111111"/>
                <w:sz w:val="18"/>
                <w:szCs w:val="18"/>
              </w:rPr>
              <w:t>1.202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A639DE"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06BE82"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47C7584B" w14:textId="77777777" w:rsidR="002117B2" w:rsidRDefault="002117B2">
            <w:pPr>
              <w:spacing w:after="0"/>
              <w:ind w:left="2" w:right="2"/>
            </w:pPr>
          </w:p>
        </w:tc>
      </w:tr>
      <w:tr w:rsidR="002117B2" w14:paraId="302F4958"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6184C45"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5D32B36E" w14:textId="77777777" w:rsidR="002117B2" w:rsidRPr="00616284" w:rsidRDefault="002117B2">
            <w:pPr>
              <w:spacing w:after="0"/>
              <w:ind w:left="2" w:right="2"/>
              <w:rPr>
                <w:sz w:val="16"/>
                <w:szCs w:val="16"/>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7D1A5DEC" w14:textId="77777777" w:rsidR="002117B2" w:rsidRPr="00616284" w:rsidRDefault="002117B2">
            <w:pPr>
              <w:spacing w:after="0"/>
              <w:ind w:left="2" w:right="2"/>
              <w:rPr>
                <w:sz w:val="16"/>
                <w:szCs w:val="16"/>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77921434" w14:textId="77777777" w:rsidR="002117B2" w:rsidRPr="00616284" w:rsidRDefault="002117B2">
            <w:pPr>
              <w:spacing w:after="0"/>
              <w:ind w:left="2" w:right="2"/>
              <w:rPr>
                <w:sz w:val="16"/>
                <w:szCs w:val="16"/>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3A1DF744" w14:textId="77777777" w:rsidR="002117B2" w:rsidRPr="00616284" w:rsidRDefault="002117B2">
            <w:pPr>
              <w:spacing w:after="0"/>
              <w:ind w:left="2" w:right="2"/>
              <w:rPr>
                <w:sz w:val="16"/>
                <w:szCs w:val="16"/>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2AA3C698" w14:textId="77777777" w:rsidR="002117B2" w:rsidRPr="00616284" w:rsidRDefault="002117B2">
            <w:pPr>
              <w:spacing w:after="0"/>
              <w:ind w:left="2" w:right="2"/>
              <w:rPr>
                <w:sz w:val="16"/>
                <w:szCs w:val="16"/>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6806755B" w14:textId="77777777" w:rsidR="002117B2" w:rsidRPr="00616284" w:rsidRDefault="002117B2">
            <w:pPr>
              <w:spacing w:after="0"/>
              <w:ind w:left="2" w:right="2"/>
              <w:rPr>
                <w:sz w:val="16"/>
                <w:szCs w:val="16"/>
              </w:rPr>
            </w:pPr>
          </w:p>
        </w:tc>
        <w:tc>
          <w:tcPr>
            <w:tcW w:w="2074" w:type="dxa"/>
            <w:tcBorders>
              <w:bottom w:val="single" w:sz="8" w:space="0" w:color="000000"/>
            </w:tcBorders>
            <w:shd w:val="clear" w:color="auto" w:fill="BDD7EE"/>
            <w:tcMar>
              <w:top w:w="0" w:type="dxa"/>
              <w:left w:w="0" w:type="dxa"/>
              <w:bottom w:w="0" w:type="dxa"/>
              <w:right w:w="0" w:type="dxa"/>
            </w:tcMar>
            <w:vAlign w:val="center"/>
          </w:tcPr>
          <w:p w14:paraId="5AD1107B" w14:textId="77777777" w:rsidR="002117B2" w:rsidRPr="00616284" w:rsidRDefault="002117B2">
            <w:pPr>
              <w:spacing w:after="0"/>
              <w:ind w:left="2" w:right="2"/>
              <w:rPr>
                <w:sz w:val="16"/>
                <w:szCs w:val="16"/>
              </w:rPr>
            </w:pPr>
          </w:p>
        </w:tc>
        <w:tc>
          <w:tcPr>
            <w:tcW w:w="283"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21721228" w14:textId="77777777" w:rsidR="002117B2" w:rsidRPr="00616284" w:rsidRDefault="002117B2">
            <w:pPr>
              <w:spacing w:after="0"/>
              <w:ind w:left="2" w:right="2"/>
              <w:rPr>
                <w:sz w:val="16"/>
                <w:szCs w:val="16"/>
              </w:rPr>
            </w:pPr>
          </w:p>
        </w:tc>
      </w:tr>
    </w:tbl>
    <w:p w14:paraId="211D9361" w14:textId="77777777" w:rsidR="002117B2" w:rsidRDefault="00616284">
      <w:r>
        <w:br w:type="page"/>
      </w:r>
    </w:p>
    <w:tbl>
      <w:tblPr>
        <w:tblW w:w="9629" w:type="dxa"/>
        <w:jc w:val="center"/>
        <w:tblLayout w:type="fixed"/>
        <w:tblLook w:val="0420" w:firstRow="1" w:lastRow="0" w:firstColumn="0" w:lastColumn="0" w:noHBand="0" w:noVBand="1"/>
      </w:tblPr>
      <w:tblGrid>
        <w:gridCol w:w="217"/>
        <w:gridCol w:w="1440"/>
        <w:gridCol w:w="1123"/>
        <w:gridCol w:w="1123"/>
        <w:gridCol w:w="1123"/>
        <w:gridCol w:w="1123"/>
        <w:gridCol w:w="1123"/>
        <w:gridCol w:w="2074"/>
        <w:gridCol w:w="283"/>
      </w:tblGrid>
      <w:tr w:rsidR="002117B2" w14:paraId="1B75901E" w14:textId="77777777" w:rsidTr="00616284">
        <w:trPr>
          <w:cantSplit/>
          <w:jc w:val="center"/>
        </w:trPr>
        <w:tc>
          <w:tcPr>
            <w:tcW w:w="217"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6ABC4FC" w14:textId="77777777" w:rsidR="002117B2" w:rsidRDefault="00616284">
            <w:pPr>
              <w:spacing w:after="0"/>
              <w:ind w:left="2" w:right="2"/>
              <w:jc w:val="center"/>
            </w:pPr>
            <w:r>
              <w:rPr>
                <w:rFonts w:ascii="Calibri" w:eastAsia="Calibri" w:hAnsi="Calibri" w:cs="Calibri"/>
                <w:b/>
                <w:color w:val="FFFFFF"/>
                <w:sz w:val="18"/>
                <w:szCs w:val="18"/>
              </w:rPr>
              <w:t>1</w:t>
            </w:r>
          </w:p>
        </w:tc>
        <w:tc>
          <w:tcPr>
            <w:tcW w:w="1440" w:type="dxa"/>
            <w:tcBorders>
              <w:top w:val="single" w:sz="8" w:space="0" w:color="000000"/>
            </w:tcBorders>
            <w:shd w:val="clear" w:color="auto" w:fill="BDD7EE"/>
            <w:tcMar>
              <w:top w:w="0" w:type="dxa"/>
              <w:left w:w="0" w:type="dxa"/>
              <w:bottom w:w="0" w:type="dxa"/>
              <w:right w:w="0" w:type="dxa"/>
            </w:tcMar>
            <w:vAlign w:val="center"/>
          </w:tcPr>
          <w:p w14:paraId="06B0BBBC"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451EDA03"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4B9E8034"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1AA91FF0"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653AF3E1" w14:textId="77777777" w:rsidR="002117B2" w:rsidRDefault="002117B2">
            <w:pPr>
              <w:spacing w:after="0"/>
              <w:ind w:left="2" w:right="2"/>
            </w:pPr>
          </w:p>
        </w:tc>
        <w:tc>
          <w:tcPr>
            <w:tcW w:w="1123" w:type="dxa"/>
            <w:tcBorders>
              <w:top w:val="single" w:sz="8" w:space="0" w:color="000000"/>
            </w:tcBorders>
            <w:shd w:val="clear" w:color="auto" w:fill="BDD7EE"/>
            <w:tcMar>
              <w:top w:w="0" w:type="dxa"/>
              <w:left w:w="0" w:type="dxa"/>
              <w:bottom w:w="0" w:type="dxa"/>
              <w:right w:w="0" w:type="dxa"/>
            </w:tcMar>
            <w:vAlign w:val="center"/>
          </w:tcPr>
          <w:p w14:paraId="21AAF9B3" w14:textId="77777777" w:rsidR="002117B2" w:rsidRDefault="002117B2">
            <w:pPr>
              <w:spacing w:after="0"/>
              <w:ind w:left="2" w:right="2"/>
            </w:pPr>
          </w:p>
        </w:tc>
        <w:tc>
          <w:tcPr>
            <w:tcW w:w="2074" w:type="dxa"/>
            <w:tcBorders>
              <w:top w:val="single" w:sz="8" w:space="0" w:color="000000"/>
            </w:tcBorders>
            <w:shd w:val="clear" w:color="auto" w:fill="BDD7EE"/>
            <w:tcMar>
              <w:top w:w="0" w:type="dxa"/>
              <w:left w:w="0" w:type="dxa"/>
              <w:bottom w:w="0" w:type="dxa"/>
              <w:right w:w="0" w:type="dxa"/>
            </w:tcMar>
            <w:vAlign w:val="center"/>
          </w:tcPr>
          <w:p w14:paraId="3739FE47" w14:textId="77777777" w:rsidR="002117B2" w:rsidRDefault="002117B2">
            <w:pPr>
              <w:spacing w:after="0"/>
              <w:ind w:left="2" w:right="2"/>
            </w:pPr>
          </w:p>
        </w:tc>
        <w:tc>
          <w:tcPr>
            <w:tcW w:w="283" w:type="dxa"/>
            <w:tcBorders>
              <w:top w:val="single" w:sz="8" w:space="0" w:color="000000"/>
              <w:right w:val="single" w:sz="8" w:space="0" w:color="000000"/>
            </w:tcBorders>
            <w:shd w:val="clear" w:color="auto" w:fill="BDD7EE"/>
            <w:tcMar>
              <w:top w:w="0" w:type="dxa"/>
              <w:left w:w="0" w:type="dxa"/>
              <w:bottom w:w="0" w:type="dxa"/>
              <w:right w:w="0" w:type="dxa"/>
            </w:tcMar>
            <w:vAlign w:val="center"/>
          </w:tcPr>
          <w:p w14:paraId="46DCB0C0" w14:textId="77777777" w:rsidR="002117B2" w:rsidRDefault="002117B2">
            <w:pPr>
              <w:spacing w:after="0"/>
              <w:ind w:left="2" w:right="2"/>
            </w:pPr>
          </w:p>
        </w:tc>
      </w:tr>
      <w:tr w:rsidR="002117B2" w14:paraId="09129C25"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82684A0"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8BAAAAB" w14:textId="77777777" w:rsidR="002117B2" w:rsidRDefault="00616284">
            <w:pPr>
              <w:spacing w:after="0"/>
              <w:ind w:left="2" w:right="2"/>
            </w:pPr>
            <w:r>
              <w:rPr>
                <w:rFonts w:ascii="Calibri" w:eastAsia="Calibri" w:hAnsi="Calibri" w:cs="Calibri"/>
                <w:color w:val="111111"/>
                <w:sz w:val="18"/>
                <w:szCs w:val="18"/>
              </w:rPr>
              <w:t>EMRT ID:</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3232F8" w14:textId="77777777" w:rsidR="002117B2" w:rsidRDefault="00616284">
            <w:pPr>
              <w:spacing w:after="0"/>
              <w:ind w:left="2" w:right="2"/>
            </w:pPr>
            <w:r>
              <w:rPr>
                <w:rFonts w:ascii="Calibri" w:eastAsia="Calibri" w:hAnsi="Calibri" w:cs="Calibri"/>
                <w:color w:val="111111"/>
                <w:sz w:val="18"/>
                <w:szCs w:val="18"/>
              </w:rPr>
              <w:t>LT-3B3-2020-0001</w:t>
            </w:r>
          </w:p>
        </w:tc>
        <w:tc>
          <w:tcPr>
            <w:tcW w:w="283" w:type="dxa"/>
            <w:tcBorders>
              <w:right w:val="single" w:sz="8" w:space="0" w:color="000000"/>
            </w:tcBorders>
            <w:shd w:val="clear" w:color="auto" w:fill="BDD7EE"/>
            <w:tcMar>
              <w:top w:w="0" w:type="dxa"/>
              <w:left w:w="0" w:type="dxa"/>
              <w:bottom w:w="0" w:type="dxa"/>
              <w:right w:w="0" w:type="dxa"/>
            </w:tcMar>
            <w:vAlign w:val="center"/>
          </w:tcPr>
          <w:p w14:paraId="6CDA2D8E" w14:textId="77777777" w:rsidR="002117B2" w:rsidRDefault="002117B2">
            <w:pPr>
              <w:spacing w:after="0"/>
              <w:ind w:left="2" w:right="2"/>
            </w:pPr>
          </w:p>
        </w:tc>
      </w:tr>
      <w:tr w:rsidR="002117B2" w14:paraId="02D7CB30"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9FCFF26"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9D5281F" w14:textId="77777777" w:rsidR="002117B2" w:rsidRDefault="00616284">
            <w:pPr>
              <w:spacing w:after="0"/>
              <w:ind w:left="2" w:right="2"/>
            </w:pPr>
            <w:r>
              <w:rPr>
                <w:rFonts w:ascii="Calibri" w:eastAsia="Calibri" w:hAnsi="Calibri" w:cs="Calibri"/>
                <w:color w:val="111111"/>
                <w:sz w:val="18"/>
                <w:szCs w:val="18"/>
              </w:rPr>
              <w:t>EMRT URL:</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712CDE" w14:textId="77777777" w:rsidR="002117B2" w:rsidRDefault="00616284">
            <w:pPr>
              <w:spacing w:after="0"/>
              <w:ind w:left="2" w:right="2"/>
            </w:pPr>
            <w:r>
              <w:rPr>
                <w:rFonts w:ascii="Calibri" w:eastAsia="Calibri" w:hAnsi="Calibri" w:cs="Calibri"/>
                <w:color w:val="111111"/>
                <w:sz w:val="18"/>
                <w:szCs w:val="18"/>
              </w:rPr>
              <w:t>https://emrt-necd.eionet.europa.eu/2020/LT-3B3-2020-0001</w:t>
            </w:r>
          </w:p>
        </w:tc>
        <w:tc>
          <w:tcPr>
            <w:tcW w:w="283" w:type="dxa"/>
            <w:tcBorders>
              <w:right w:val="single" w:sz="8" w:space="0" w:color="000000"/>
            </w:tcBorders>
            <w:shd w:val="clear" w:color="auto" w:fill="BDD7EE"/>
            <w:tcMar>
              <w:top w:w="0" w:type="dxa"/>
              <w:left w:w="0" w:type="dxa"/>
              <w:bottom w:w="0" w:type="dxa"/>
              <w:right w:w="0" w:type="dxa"/>
            </w:tcMar>
            <w:vAlign w:val="center"/>
          </w:tcPr>
          <w:p w14:paraId="5DD300EF" w14:textId="77777777" w:rsidR="002117B2" w:rsidRDefault="002117B2">
            <w:pPr>
              <w:spacing w:after="0"/>
              <w:ind w:left="2" w:right="2"/>
            </w:pPr>
          </w:p>
        </w:tc>
      </w:tr>
      <w:tr w:rsidR="002117B2" w14:paraId="05B43638"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B9A954E"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45E92E6" w14:textId="77777777" w:rsidR="002117B2" w:rsidRDefault="00616284">
            <w:pPr>
              <w:spacing w:after="0"/>
              <w:ind w:left="2" w:right="2"/>
            </w:pPr>
            <w:r>
              <w:rPr>
                <w:rFonts w:ascii="Calibri" w:eastAsia="Calibri" w:hAnsi="Calibri" w:cs="Calibri"/>
                <w:color w:val="111111"/>
                <w:sz w:val="18"/>
                <w:szCs w:val="18"/>
              </w:rPr>
              <w:t>Member State:</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366FED" w14:textId="77777777" w:rsidR="002117B2" w:rsidRDefault="00616284">
            <w:pPr>
              <w:spacing w:after="0"/>
              <w:ind w:left="2" w:right="2"/>
            </w:pPr>
            <w:r>
              <w:rPr>
                <w:rFonts w:ascii="Calibri" w:eastAsia="Calibri" w:hAnsi="Calibri" w:cs="Calibri"/>
                <w:color w:val="111111"/>
                <w:sz w:val="18"/>
                <w:szCs w:val="18"/>
              </w:rPr>
              <w:t>Lithuania</w:t>
            </w:r>
          </w:p>
        </w:tc>
        <w:tc>
          <w:tcPr>
            <w:tcW w:w="283" w:type="dxa"/>
            <w:tcBorders>
              <w:right w:val="single" w:sz="8" w:space="0" w:color="000000"/>
            </w:tcBorders>
            <w:shd w:val="clear" w:color="auto" w:fill="BDD7EE"/>
            <w:tcMar>
              <w:top w:w="0" w:type="dxa"/>
              <w:left w:w="0" w:type="dxa"/>
              <w:bottom w:w="0" w:type="dxa"/>
              <w:right w:w="0" w:type="dxa"/>
            </w:tcMar>
            <w:vAlign w:val="center"/>
          </w:tcPr>
          <w:p w14:paraId="12709FEE" w14:textId="77777777" w:rsidR="002117B2" w:rsidRDefault="002117B2">
            <w:pPr>
              <w:spacing w:after="0"/>
              <w:ind w:left="2" w:right="2"/>
            </w:pPr>
          </w:p>
        </w:tc>
      </w:tr>
      <w:tr w:rsidR="002117B2" w14:paraId="00275684"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D90C421"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5C11242" w14:textId="77777777" w:rsidR="002117B2" w:rsidRDefault="00616284">
            <w:pPr>
              <w:spacing w:after="0"/>
              <w:ind w:left="2" w:right="2"/>
            </w:pPr>
            <w:r>
              <w:rPr>
                <w:rFonts w:ascii="Calibri" w:eastAsia="Calibri" w:hAnsi="Calibri" w:cs="Calibri"/>
                <w:color w:val="111111"/>
                <w:sz w:val="18"/>
                <w:szCs w:val="18"/>
              </w:rPr>
              <w:t>Sector:</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E659F3" w14:textId="56242346" w:rsidR="002117B2" w:rsidRDefault="00616284">
            <w:pPr>
              <w:spacing w:after="0"/>
              <w:ind w:left="2" w:right="2"/>
            </w:pPr>
            <w:r>
              <w:rPr>
                <w:rFonts w:ascii="Calibri" w:eastAsia="Calibri" w:hAnsi="Calibri" w:cs="Calibri"/>
                <w:color w:val="111111"/>
                <w:sz w:val="18"/>
                <w:szCs w:val="18"/>
              </w:rPr>
              <w:t xml:space="preserve">3B3 Manure </w:t>
            </w:r>
            <w:r w:rsidR="00CD02E8">
              <w:rPr>
                <w:rFonts w:ascii="Calibri" w:eastAsia="Calibri" w:hAnsi="Calibri" w:cs="Calibri"/>
                <w:color w:val="111111"/>
                <w:sz w:val="18"/>
                <w:szCs w:val="18"/>
              </w:rPr>
              <w:t xml:space="preserve">Management - </w:t>
            </w:r>
            <w:r>
              <w:rPr>
                <w:rFonts w:ascii="Calibri" w:eastAsia="Calibri" w:hAnsi="Calibri" w:cs="Calibri"/>
                <w:color w:val="111111"/>
                <w:sz w:val="18"/>
                <w:szCs w:val="18"/>
              </w:rPr>
              <w:t>Swine</w:t>
            </w:r>
          </w:p>
        </w:tc>
        <w:tc>
          <w:tcPr>
            <w:tcW w:w="283" w:type="dxa"/>
            <w:tcBorders>
              <w:right w:val="single" w:sz="8" w:space="0" w:color="000000"/>
            </w:tcBorders>
            <w:shd w:val="clear" w:color="auto" w:fill="BDD7EE"/>
            <w:tcMar>
              <w:top w:w="0" w:type="dxa"/>
              <w:left w:w="0" w:type="dxa"/>
              <w:bottom w:w="0" w:type="dxa"/>
              <w:right w:w="0" w:type="dxa"/>
            </w:tcMar>
            <w:vAlign w:val="center"/>
          </w:tcPr>
          <w:p w14:paraId="32158F4D" w14:textId="77777777" w:rsidR="002117B2" w:rsidRDefault="002117B2">
            <w:pPr>
              <w:spacing w:after="0"/>
              <w:ind w:left="2" w:right="2"/>
            </w:pPr>
          </w:p>
        </w:tc>
      </w:tr>
      <w:tr w:rsidR="002117B2" w14:paraId="38063352"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02EBBC2"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BE59EA1" w14:textId="77777777" w:rsidR="002117B2" w:rsidRDefault="00616284">
            <w:pPr>
              <w:spacing w:after="0"/>
              <w:ind w:left="2" w:right="2"/>
            </w:pPr>
            <w:r>
              <w:rPr>
                <w:rFonts w:ascii="Calibri" w:eastAsia="Calibri" w:hAnsi="Calibri" w:cs="Calibri"/>
                <w:color w:val="111111"/>
                <w:sz w:val="18"/>
                <w:szCs w:val="18"/>
              </w:rPr>
              <w:t>Pollutants:</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033B3A" w14:textId="2BCA7E04" w:rsidR="002117B2" w:rsidRDefault="00616284">
            <w:pPr>
              <w:spacing w:after="0"/>
              <w:ind w:left="2" w:right="2"/>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283" w:type="dxa"/>
            <w:tcBorders>
              <w:right w:val="single" w:sz="8" w:space="0" w:color="000000"/>
            </w:tcBorders>
            <w:shd w:val="clear" w:color="auto" w:fill="BDD7EE"/>
            <w:tcMar>
              <w:top w:w="0" w:type="dxa"/>
              <w:left w:w="0" w:type="dxa"/>
              <w:bottom w:w="0" w:type="dxa"/>
              <w:right w:w="0" w:type="dxa"/>
            </w:tcMar>
            <w:vAlign w:val="center"/>
          </w:tcPr>
          <w:p w14:paraId="3E03EF75" w14:textId="77777777" w:rsidR="002117B2" w:rsidRDefault="002117B2">
            <w:pPr>
              <w:spacing w:after="0"/>
              <w:ind w:left="2" w:right="2"/>
            </w:pPr>
          </w:p>
        </w:tc>
      </w:tr>
      <w:tr w:rsidR="002117B2" w14:paraId="414EE900"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0EBA621"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B513BEB" w14:textId="77777777" w:rsidR="002117B2" w:rsidRDefault="00616284">
            <w:pPr>
              <w:spacing w:after="0"/>
              <w:ind w:left="2" w:right="2"/>
            </w:pPr>
            <w:r>
              <w:rPr>
                <w:rFonts w:ascii="Calibri" w:eastAsia="Calibri" w:hAnsi="Calibri" w:cs="Calibri"/>
                <w:color w:val="111111"/>
                <w:sz w:val="18"/>
                <w:szCs w:val="18"/>
              </w:rPr>
              <w:t>Completed by (SE):</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7490D9" w14:textId="77777777" w:rsidR="002117B2" w:rsidRDefault="00616284">
            <w:pPr>
              <w:spacing w:after="0"/>
              <w:ind w:left="2" w:right="2"/>
            </w:pPr>
            <w:r>
              <w:rPr>
                <w:rFonts w:ascii="Calibri" w:eastAsia="Calibri" w:hAnsi="Calibri" w:cs="Calibri"/>
                <w:color w:val="111111"/>
                <w:sz w:val="18"/>
                <w:szCs w:val="18"/>
              </w:rPr>
              <w:t>Mette Hjorth Mikkelsen</w:t>
            </w:r>
          </w:p>
        </w:tc>
        <w:tc>
          <w:tcPr>
            <w:tcW w:w="283" w:type="dxa"/>
            <w:tcBorders>
              <w:right w:val="single" w:sz="8" w:space="0" w:color="000000"/>
            </w:tcBorders>
            <w:shd w:val="clear" w:color="auto" w:fill="BDD7EE"/>
            <w:tcMar>
              <w:top w:w="0" w:type="dxa"/>
              <w:left w:w="0" w:type="dxa"/>
              <w:bottom w:w="0" w:type="dxa"/>
              <w:right w:w="0" w:type="dxa"/>
            </w:tcMar>
            <w:vAlign w:val="center"/>
          </w:tcPr>
          <w:p w14:paraId="40E58C94" w14:textId="77777777" w:rsidR="002117B2" w:rsidRDefault="002117B2">
            <w:pPr>
              <w:spacing w:after="0"/>
              <w:ind w:left="2" w:right="2"/>
            </w:pPr>
          </w:p>
        </w:tc>
      </w:tr>
      <w:tr w:rsidR="002117B2" w14:paraId="2DA750C4"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B4D79AC"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64178B4" w14:textId="77777777" w:rsidR="002117B2" w:rsidRDefault="00616284">
            <w:pPr>
              <w:spacing w:after="0"/>
              <w:ind w:left="2" w:right="2"/>
            </w:pPr>
            <w:r>
              <w:rPr>
                <w:rFonts w:ascii="Calibri" w:eastAsia="Calibri" w:hAnsi="Calibri" w:cs="Calibri"/>
                <w:color w:val="111111"/>
                <w:sz w:val="18"/>
                <w:szCs w:val="18"/>
              </w:rPr>
              <w:t>Reviewed by (LR):</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C0543B" w14:textId="77777777" w:rsidR="002117B2" w:rsidRDefault="00616284">
            <w:pPr>
              <w:spacing w:after="0"/>
              <w:ind w:left="2" w:right="2"/>
            </w:pPr>
            <w:r>
              <w:rPr>
                <w:rFonts w:ascii="Calibri" w:eastAsia="Calibri" w:hAnsi="Calibri" w:cs="Calibri"/>
                <w:color w:val="111111"/>
                <w:sz w:val="18"/>
                <w:szCs w:val="18"/>
              </w:rPr>
              <w:t>Justin Goodwin</w:t>
            </w:r>
          </w:p>
        </w:tc>
        <w:tc>
          <w:tcPr>
            <w:tcW w:w="283" w:type="dxa"/>
            <w:tcBorders>
              <w:right w:val="single" w:sz="8" w:space="0" w:color="000000"/>
            </w:tcBorders>
            <w:shd w:val="clear" w:color="auto" w:fill="BDD7EE"/>
            <w:tcMar>
              <w:top w:w="0" w:type="dxa"/>
              <w:left w:w="0" w:type="dxa"/>
              <w:bottom w:w="0" w:type="dxa"/>
              <w:right w:w="0" w:type="dxa"/>
            </w:tcMar>
            <w:vAlign w:val="center"/>
          </w:tcPr>
          <w:p w14:paraId="556C0FCF" w14:textId="77777777" w:rsidR="002117B2" w:rsidRDefault="002117B2">
            <w:pPr>
              <w:spacing w:after="0"/>
              <w:ind w:left="2" w:right="2"/>
            </w:pPr>
          </w:p>
        </w:tc>
      </w:tr>
      <w:tr w:rsidR="002117B2" w14:paraId="7F83CED9"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6D23D82"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A8E5095" w14:textId="77777777" w:rsidR="002117B2" w:rsidRDefault="00616284">
            <w:pPr>
              <w:spacing w:after="0"/>
              <w:ind w:left="2" w:right="2"/>
            </w:pPr>
            <w:r>
              <w:rPr>
                <w:rFonts w:ascii="Calibri" w:eastAsia="Calibri" w:hAnsi="Calibri" w:cs="Calibri"/>
                <w:color w:val="111111"/>
                <w:sz w:val="18"/>
                <w:szCs w:val="18"/>
              </w:rPr>
              <w:t>Reviewed by (Counterpart):</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B65259" w14:textId="77777777" w:rsidR="002117B2" w:rsidRDefault="00616284">
            <w:pPr>
              <w:spacing w:after="0"/>
              <w:ind w:left="2" w:right="2"/>
            </w:pPr>
            <w:r>
              <w:rPr>
                <w:rFonts w:ascii="Calibri" w:eastAsia="Calibri" w:hAnsi="Calibri" w:cs="Calibri"/>
                <w:color w:val="111111"/>
                <w:sz w:val="18"/>
                <w:szCs w:val="18"/>
              </w:rPr>
              <w:t>Anais Durand</w:t>
            </w:r>
          </w:p>
        </w:tc>
        <w:tc>
          <w:tcPr>
            <w:tcW w:w="283" w:type="dxa"/>
            <w:tcBorders>
              <w:right w:val="single" w:sz="8" w:space="0" w:color="000000"/>
            </w:tcBorders>
            <w:shd w:val="clear" w:color="auto" w:fill="BDD7EE"/>
            <w:tcMar>
              <w:top w:w="0" w:type="dxa"/>
              <w:left w:w="0" w:type="dxa"/>
              <w:bottom w:w="0" w:type="dxa"/>
              <w:right w:w="0" w:type="dxa"/>
            </w:tcMar>
            <w:vAlign w:val="center"/>
          </w:tcPr>
          <w:p w14:paraId="7D820196" w14:textId="77777777" w:rsidR="002117B2" w:rsidRDefault="002117B2">
            <w:pPr>
              <w:spacing w:after="0"/>
              <w:ind w:left="2" w:right="2"/>
            </w:pPr>
          </w:p>
        </w:tc>
      </w:tr>
      <w:tr w:rsidR="002117B2" w14:paraId="22DE174C"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EA368AB"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DF3627A" w14:textId="77777777" w:rsidR="002117B2" w:rsidRDefault="00616284">
            <w:pPr>
              <w:spacing w:after="0"/>
              <w:ind w:left="2" w:right="2"/>
            </w:pPr>
            <w:r>
              <w:rPr>
                <w:rFonts w:ascii="Calibri" w:eastAsia="Calibri" w:hAnsi="Calibri" w:cs="Calibri"/>
                <w:color w:val="111111"/>
                <w:sz w:val="18"/>
                <w:szCs w:val="18"/>
              </w:rPr>
              <w:t>Reviewed by (Quality Controller):</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15D3FC" w14:textId="77777777" w:rsidR="002117B2" w:rsidRDefault="00616284">
            <w:pPr>
              <w:spacing w:after="0"/>
              <w:ind w:left="2" w:right="2"/>
            </w:pPr>
            <w:r>
              <w:rPr>
                <w:rFonts w:ascii="Calibri" w:eastAsia="Calibri" w:hAnsi="Calibri" w:cs="Calibri"/>
                <w:color w:val="111111"/>
                <w:sz w:val="18"/>
                <w:szCs w:val="18"/>
              </w:rPr>
              <w:t>Chris Dore</w:t>
            </w:r>
          </w:p>
        </w:tc>
        <w:tc>
          <w:tcPr>
            <w:tcW w:w="283" w:type="dxa"/>
            <w:tcBorders>
              <w:right w:val="single" w:sz="8" w:space="0" w:color="000000"/>
            </w:tcBorders>
            <w:shd w:val="clear" w:color="auto" w:fill="BDD7EE"/>
            <w:tcMar>
              <w:top w:w="0" w:type="dxa"/>
              <w:left w:w="0" w:type="dxa"/>
              <w:bottom w:w="0" w:type="dxa"/>
              <w:right w:w="0" w:type="dxa"/>
            </w:tcMar>
            <w:vAlign w:val="center"/>
          </w:tcPr>
          <w:p w14:paraId="29725971" w14:textId="77777777" w:rsidR="002117B2" w:rsidRDefault="002117B2">
            <w:pPr>
              <w:spacing w:after="0"/>
              <w:ind w:left="2" w:right="2"/>
            </w:pPr>
          </w:p>
        </w:tc>
      </w:tr>
      <w:tr w:rsidR="002117B2" w14:paraId="41D660D0"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D3090E2"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0B32F284"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3C8E5F36"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3CE7695E"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14C21152"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741F25EB"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69FE8BE0" w14:textId="77777777" w:rsidR="002117B2" w:rsidRPr="00616284" w:rsidRDefault="002117B2">
            <w:pPr>
              <w:spacing w:after="0"/>
              <w:ind w:left="2" w:right="2"/>
              <w:rPr>
                <w:sz w:val="18"/>
                <w:szCs w:val="18"/>
              </w:rPr>
            </w:pPr>
          </w:p>
        </w:tc>
        <w:tc>
          <w:tcPr>
            <w:tcW w:w="2074" w:type="dxa"/>
            <w:shd w:val="clear" w:color="auto" w:fill="BDD7EE"/>
            <w:tcMar>
              <w:top w:w="0" w:type="dxa"/>
              <w:left w:w="0" w:type="dxa"/>
              <w:bottom w:w="0" w:type="dxa"/>
              <w:right w:w="0" w:type="dxa"/>
            </w:tcMar>
            <w:vAlign w:val="center"/>
          </w:tcPr>
          <w:p w14:paraId="6548F29B" w14:textId="77777777" w:rsidR="002117B2" w:rsidRPr="00616284" w:rsidRDefault="002117B2">
            <w:pPr>
              <w:spacing w:after="0"/>
              <w:ind w:left="2" w:right="2"/>
              <w:rPr>
                <w:sz w:val="18"/>
                <w:szCs w:val="18"/>
              </w:rPr>
            </w:pPr>
          </w:p>
        </w:tc>
        <w:tc>
          <w:tcPr>
            <w:tcW w:w="283" w:type="dxa"/>
            <w:tcBorders>
              <w:right w:val="single" w:sz="8" w:space="0" w:color="000000"/>
            </w:tcBorders>
            <w:shd w:val="clear" w:color="auto" w:fill="BDD7EE"/>
            <w:tcMar>
              <w:top w:w="0" w:type="dxa"/>
              <w:left w:w="0" w:type="dxa"/>
              <w:bottom w:w="0" w:type="dxa"/>
              <w:right w:w="0" w:type="dxa"/>
            </w:tcMar>
            <w:vAlign w:val="center"/>
          </w:tcPr>
          <w:p w14:paraId="3A90032B" w14:textId="77777777" w:rsidR="002117B2" w:rsidRPr="00616284" w:rsidRDefault="002117B2">
            <w:pPr>
              <w:spacing w:after="0"/>
              <w:ind w:left="2" w:right="2"/>
              <w:rPr>
                <w:sz w:val="18"/>
                <w:szCs w:val="18"/>
              </w:rPr>
            </w:pPr>
          </w:p>
        </w:tc>
      </w:tr>
      <w:tr w:rsidR="002117B2" w14:paraId="6A8E044E"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84CDD62"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7D5DFEE" w14:textId="77777777" w:rsidR="002117B2" w:rsidRDefault="00616284">
            <w:pPr>
              <w:spacing w:after="0"/>
              <w:ind w:left="2" w:right="2"/>
            </w:pPr>
            <w:r>
              <w:rPr>
                <w:rFonts w:ascii="Calibri" w:eastAsia="Calibri" w:hAnsi="Calibri" w:cs="Calibri"/>
                <w:color w:val="111111"/>
                <w:sz w:val="18"/>
                <w:szCs w:val="18"/>
              </w:rPr>
              <w:t>The underlying problem:</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FC7373" w14:textId="77777777" w:rsidR="002117B2" w:rsidRDefault="00616284">
            <w:pPr>
              <w:spacing w:after="0"/>
              <w:ind w:left="2" w:right="2"/>
            </w:pPr>
            <w:r>
              <w:rPr>
                <w:rFonts w:ascii="Calibri" w:eastAsia="Calibri" w:hAnsi="Calibri" w:cs="Calibri"/>
                <w:color w:val="111111"/>
                <w:sz w:val="18"/>
                <w:szCs w:val="18"/>
              </w:rPr>
              <w:t>Lithuania informed that the emission is based on a  Tier2 calculation, but no information on key parameters (N-exc, MMS and housing days) is given in the IIR and it was not possible during the review to document the calculation reported in submission 2020.</w:t>
            </w:r>
          </w:p>
        </w:tc>
        <w:tc>
          <w:tcPr>
            <w:tcW w:w="283" w:type="dxa"/>
            <w:tcBorders>
              <w:right w:val="single" w:sz="8" w:space="0" w:color="000000"/>
            </w:tcBorders>
            <w:shd w:val="clear" w:color="auto" w:fill="BDD7EE"/>
            <w:tcMar>
              <w:top w:w="0" w:type="dxa"/>
              <w:left w:w="0" w:type="dxa"/>
              <w:bottom w:w="0" w:type="dxa"/>
              <w:right w:w="0" w:type="dxa"/>
            </w:tcMar>
            <w:vAlign w:val="center"/>
          </w:tcPr>
          <w:p w14:paraId="29E5A8EB" w14:textId="77777777" w:rsidR="002117B2" w:rsidRDefault="002117B2">
            <w:pPr>
              <w:spacing w:after="0"/>
              <w:ind w:left="2" w:right="2"/>
            </w:pPr>
          </w:p>
        </w:tc>
      </w:tr>
      <w:tr w:rsidR="002117B2" w14:paraId="41904F62"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548195F" w14:textId="77777777" w:rsidR="002117B2" w:rsidRDefault="002117B2">
            <w:pPr>
              <w:spacing w:after="0"/>
              <w:ind w:left="2" w:right="2"/>
              <w:jc w:val="center"/>
            </w:pPr>
          </w:p>
        </w:tc>
        <w:tc>
          <w:tcPr>
            <w:tcW w:w="2563" w:type="dxa"/>
            <w:gridSpan w:val="2"/>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A024714" w14:textId="77777777" w:rsidR="002117B2" w:rsidRDefault="00616284">
            <w:pPr>
              <w:spacing w:after="0"/>
              <w:ind w:left="2" w:right="2"/>
            </w:pPr>
            <w:r>
              <w:rPr>
                <w:rFonts w:ascii="Calibri" w:eastAsia="Calibri" w:hAnsi="Calibri" w:cs="Calibri"/>
                <w:color w:val="111111"/>
                <w:sz w:val="18"/>
                <w:szCs w:val="18"/>
              </w:rPr>
              <w:t>Summarise the methodology used:</w:t>
            </w:r>
          </w:p>
        </w:tc>
        <w:tc>
          <w:tcPr>
            <w:tcW w:w="65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6D7D84" w14:textId="77777777" w:rsidR="002117B2" w:rsidRDefault="00616284">
            <w:pPr>
              <w:spacing w:after="0"/>
              <w:ind w:left="2" w:right="2"/>
            </w:pPr>
            <w:r>
              <w:rPr>
                <w:rFonts w:ascii="Calibri" w:eastAsia="Calibri" w:hAnsi="Calibri" w:cs="Calibri"/>
                <w:color w:val="111111"/>
                <w:sz w:val="18"/>
                <w:szCs w:val="18"/>
              </w:rPr>
              <w:t>The TERT calculation is based on the N-flow tool provided in relation to EEA/EMEP GB 2019 and national data from CRF Tables is used. Lithuania has accepted the estimate calculated by the TERT.</w:t>
            </w:r>
          </w:p>
        </w:tc>
        <w:tc>
          <w:tcPr>
            <w:tcW w:w="283" w:type="dxa"/>
            <w:tcBorders>
              <w:right w:val="single" w:sz="8" w:space="0" w:color="000000"/>
            </w:tcBorders>
            <w:shd w:val="clear" w:color="auto" w:fill="BDD7EE"/>
            <w:tcMar>
              <w:top w:w="0" w:type="dxa"/>
              <w:left w:w="0" w:type="dxa"/>
              <w:bottom w:w="0" w:type="dxa"/>
              <w:right w:w="0" w:type="dxa"/>
            </w:tcMar>
            <w:vAlign w:val="center"/>
          </w:tcPr>
          <w:p w14:paraId="57751415" w14:textId="77777777" w:rsidR="002117B2" w:rsidRDefault="002117B2">
            <w:pPr>
              <w:spacing w:after="0"/>
              <w:ind w:left="2" w:right="2"/>
            </w:pPr>
          </w:p>
        </w:tc>
      </w:tr>
      <w:tr w:rsidR="002117B2" w14:paraId="5C12E72F"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8422FB4"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7E2CE2B4" w14:textId="77777777" w:rsidR="002117B2" w:rsidRPr="00616284" w:rsidRDefault="002117B2">
            <w:pPr>
              <w:spacing w:after="0"/>
              <w:ind w:left="2" w:right="2"/>
              <w:rPr>
                <w:sz w:val="18"/>
                <w:szCs w:val="18"/>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1B021D30" w14:textId="77777777" w:rsidR="002117B2" w:rsidRPr="00616284" w:rsidRDefault="002117B2">
            <w:pPr>
              <w:spacing w:after="0"/>
              <w:ind w:left="2" w:right="2"/>
              <w:rPr>
                <w:sz w:val="18"/>
                <w:szCs w:val="18"/>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3B266F6A" w14:textId="77777777" w:rsidR="002117B2" w:rsidRPr="00616284" w:rsidRDefault="002117B2">
            <w:pPr>
              <w:spacing w:after="0"/>
              <w:ind w:left="2" w:right="2"/>
              <w:rPr>
                <w:sz w:val="18"/>
                <w:szCs w:val="18"/>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4C8CF918" w14:textId="77777777" w:rsidR="002117B2" w:rsidRPr="00616284" w:rsidRDefault="002117B2">
            <w:pPr>
              <w:spacing w:after="0"/>
              <w:ind w:left="2" w:right="2"/>
              <w:rPr>
                <w:sz w:val="18"/>
                <w:szCs w:val="18"/>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573CE16A" w14:textId="77777777" w:rsidR="002117B2" w:rsidRPr="00616284" w:rsidRDefault="002117B2">
            <w:pPr>
              <w:spacing w:after="0"/>
              <w:ind w:left="2" w:right="2"/>
              <w:rPr>
                <w:sz w:val="18"/>
                <w:szCs w:val="18"/>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55A0753A" w14:textId="77777777" w:rsidR="002117B2" w:rsidRPr="00616284" w:rsidRDefault="002117B2">
            <w:pPr>
              <w:spacing w:after="0"/>
              <w:ind w:left="2" w:right="2"/>
              <w:rPr>
                <w:sz w:val="18"/>
                <w:szCs w:val="18"/>
              </w:rPr>
            </w:pPr>
          </w:p>
        </w:tc>
        <w:tc>
          <w:tcPr>
            <w:tcW w:w="2074" w:type="dxa"/>
            <w:tcBorders>
              <w:bottom w:val="single" w:sz="8" w:space="0" w:color="000000"/>
            </w:tcBorders>
            <w:shd w:val="clear" w:color="auto" w:fill="BDD7EE"/>
            <w:tcMar>
              <w:top w:w="0" w:type="dxa"/>
              <w:left w:w="0" w:type="dxa"/>
              <w:bottom w:w="0" w:type="dxa"/>
              <w:right w:w="0" w:type="dxa"/>
            </w:tcMar>
            <w:vAlign w:val="center"/>
          </w:tcPr>
          <w:p w14:paraId="07BE041F" w14:textId="77777777" w:rsidR="002117B2" w:rsidRPr="00616284" w:rsidRDefault="002117B2">
            <w:pPr>
              <w:spacing w:after="0"/>
              <w:ind w:left="2" w:right="2"/>
              <w:rPr>
                <w:sz w:val="18"/>
                <w:szCs w:val="18"/>
              </w:rPr>
            </w:pPr>
          </w:p>
        </w:tc>
        <w:tc>
          <w:tcPr>
            <w:tcW w:w="283"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1FB0C8C5" w14:textId="77777777" w:rsidR="002117B2" w:rsidRPr="00616284" w:rsidRDefault="002117B2">
            <w:pPr>
              <w:spacing w:after="0"/>
              <w:ind w:left="2" w:right="2"/>
              <w:rPr>
                <w:sz w:val="18"/>
                <w:szCs w:val="18"/>
              </w:rPr>
            </w:pPr>
          </w:p>
        </w:tc>
      </w:tr>
      <w:tr w:rsidR="002117B2" w14:paraId="70DEE970" w14:textId="77777777" w:rsidTr="00616284">
        <w:trPr>
          <w:cantSplit/>
          <w:jc w:val="center"/>
        </w:trPr>
        <w:tc>
          <w:tcPr>
            <w:tcW w:w="217"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C3BEA10" w14:textId="77777777" w:rsidR="002117B2" w:rsidRDefault="00616284">
            <w:pPr>
              <w:spacing w:after="0"/>
              <w:ind w:left="2" w:right="2"/>
              <w:jc w:val="center"/>
            </w:pPr>
            <w:r>
              <w:rPr>
                <w:rFonts w:ascii="Calibri" w:eastAsia="Calibri" w:hAnsi="Calibri" w:cs="Calibri"/>
                <w:b/>
                <w:color w:val="FFFFFF"/>
                <w:sz w:val="18"/>
                <w:szCs w:val="18"/>
              </w:rPr>
              <w:t>2</w:t>
            </w:r>
          </w:p>
        </w:tc>
        <w:tc>
          <w:tcPr>
            <w:tcW w:w="9412" w:type="dxa"/>
            <w:gridSpan w:val="8"/>
            <w:tcBorders>
              <w:top w:val="single" w:sz="8" w:space="0" w:color="000000"/>
            </w:tcBorders>
            <w:shd w:val="clear" w:color="auto" w:fill="BDD7EE"/>
            <w:tcMar>
              <w:top w:w="0" w:type="dxa"/>
              <w:left w:w="0" w:type="dxa"/>
              <w:bottom w:w="0" w:type="dxa"/>
              <w:right w:w="0" w:type="dxa"/>
            </w:tcMar>
            <w:vAlign w:val="center"/>
          </w:tcPr>
          <w:p w14:paraId="018F488D" w14:textId="77777777" w:rsidR="002117B2" w:rsidRDefault="00616284">
            <w:pPr>
              <w:spacing w:after="0"/>
              <w:ind w:left="2" w:right="2"/>
            </w:pPr>
            <w:r>
              <w:rPr>
                <w:rFonts w:ascii="Calibri" w:eastAsia="Calibri" w:hAnsi="Calibri" w:cs="Calibri"/>
                <w:b/>
                <w:color w:val="111111"/>
                <w:sz w:val="18"/>
                <w:szCs w:val="18"/>
              </w:rPr>
              <w:t>Details of the corrected estimate</w:t>
            </w:r>
          </w:p>
        </w:tc>
      </w:tr>
      <w:tr w:rsidR="002117B2" w14:paraId="3F77A43A"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2AE71F0"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6955DA21"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D9E0AF1" w14:textId="77777777" w:rsidR="002117B2" w:rsidRDefault="00616284">
            <w:pPr>
              <w:spacing w:after="0"/>
              <w:ind w:left="2" w:right="2"/>
              <w:jc w:val="center"/>
            </w:pPr>
            <w:r>
              <w:rPr>
                <w:rFonts w:ascii="Calibri" w:eastAsia="Calibri" w:hAnsi="Calibri" w:cs="Calibri"/>
                <w:b/>
                <w:color w:val="111111"/>
                <w:sz w:val="18"/>
                <w:szCs w:val="18"/>
              </w:rPr>
              <w:t>Original Estimate (kt)</w:t>
            </w:r>
          </w:p>
        </w:tc>
        <w:tc>
          <w:tcPr>
            <w:tcW w:w="2074"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316890E" w14:textId="77777777" w:rsidR="002117B2" w:rsidRDefault="00616284">
            <w:pPr>
              <w:spacing w:after="0"/>
              <w:ind w:left="2" w:right="2"/>
              <w:jc w:val="center"/>
            </w:pPr>
            <w:r>
              <w:rPr>
                <w:rFonts w:ascii="Calibri" w:eastAsia="Calibri" w:hAnsi="Calibri" w:cs="Calibri"/>
                <w:b/>
                <w:color w:val="111111"/>
                <w:sz w:val="18"/>
                <w:szCs w:val="18"/>
              </w:rPr>
              <w:t>Notes</w:t>
            </w:r>
          </w:p>
        </w:tc>
        <w:tc>
          <w:tcPr>
            <w:tcW w:w="283" w:type="dxa"/>
            <w:tcBorders>
              <w:right w:val="single" w:sz="8" w:space="0" w:color="000000"/>
            </w:tcBorders>
            <w:shd w:val="clear" w:color="auto" w:fill="BDD7EE"/>
            <w:tcMar>
              <w:top w:w="0" w:type="dxa"/>
              <w:left w:w="0" w:type="dxa"/>
              <w:bottom w:w="0" w:type="dxa"/>
              <w:right w:w="0" w:type="dxa"/>
            </w:tcMar>
            <w:vAlign w:val="center"/>
          </w:tcPr>
          <w:p w14:paraId="2294BF32" w14:textId="77777777" w:rsidR="002117B2" w:rsidRDefault="002117B2">
            <w:pPr>
              <w:spacing w:after="0"/>
              <w:ind w:left="2" w:right="2"/>
              <w:jc w:val="center"/>
            </w:pPr>
          </w:p>
        </w:tc>
      </w:tr>
      <w:tr w:rsidR="002117B2" w14:paraId="77355631"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BE40E59"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7075EE6"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0D06D0D" w14:textId="77D6E963"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6F48136"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D0DC743" w14:textId="5CA6C516"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4A23C97" w14:textId="4F12FACF"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EFB523D" w14:textId="738E940A"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2074"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A8E987E" w14:textId="77777777" w:rsidR="002117B2" w:rsidRDefault="002117B2">
            <w:pPr>
              <w:spacing w:after="0"/>
              <w:ind w:left="2" w:right="2"/>
              <w:jc w:val="center"/>
            </w:pPr>
          </w:p>
        </w:tc>
        <w:tc>
          <w:tcPr>
            <w:tcW w:w="283" w:type="dxa"/>
            <w:tcBorders>
              <w:right w:val="single" w:sz="8" w:space="0" w:color="000000"/>
            </w:tcBorders>
            <w:shd w:val="clear" w:color="auto" w:fill="BDD7EE"/>
            <w:tcMar>
              <w:top w:w="0" w:type="dxa"/>
              <w:left w:w="0" w:type="dxa"/>
              <w:bottom w:w="0" w:type="dxa"/>
              <w:right w:w="0" w:type="dxa"/>
            </w:tcMar>
            <w:vAlign w:val="center"/>
          </w:tcPr>
          <w:p w14:paraId="2B7D0BAB" w14:textId="77777777" w:rsidR="002117B2" w:rsidRDefault="002117B2">
            <w:pPr>
              <w:spacing w:after="0"/>
              <w:ind w:left="2" w:right="2"/>
              <w:jc w:val="center"/>
            </w:pPr>
          </w:p>
        </w:tc>
      </w:tr>
      <w:tr w:rsidR="002117B2" w14:paraId="566832AF"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438830C"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70836E8"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2F2A1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6D821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24F49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C71F57" w14:textId="77777777" w:rsidR="002117B2" w:rsidRDefault="00616284">
            <w:pPr>
              <w:spacing w:after="0"/>
              <w:ind w:left="2" w:right="2"/>
            </w:pPr>
            <w:r>
              <w:rPr>
                <w:rFonts w:ascii="Calibri" w:eastAsia="Calibri" w:hAnsi="Calibri" w:cs="Calibri"/>
                <w:color w:val="111111"/>
                <w:sz w:val="18"/>
                <w:szCs w:val="18"/>
              </w:rPr>
              <w:t>4.281</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0A1D28"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0D4520"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5A219BF0" w14:textId="77777777" w:rsidR="002117B2" w:rsidRDefault="002117B2">
            <w:pPr>
              <w:spacing w:after="0"/>
              <w:ind w:left="2" w:right="2"/>
            </w:pPr>
          </w:p>
        </w:tc>
      </w:tr>
      <w:tr w:rsidR="002117B2" w14:paraId="5FF7FF15"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6D3E02"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7F0DC25"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3A566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10800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0CA6F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6E5FCC" w14:textId="77777777" w:rsidR="002117B2" w:rsidRDefault="00616284">
            <w:pPr>
              <w:spacing w:after="0"/>
              <w:ind w:left="2" w:right="2"/>
            </w:pPr>
            <w:r>
              <w:rPr>
                <w:rFonts w:ascii="Calibri" w:eastAsia="Calibri" w:hAnsi="Calibri" w:cs="Calibri"/>
                <w:color w:val="111111"/>
                <w:sz w:val="18"/>
                <w:szCs w:val="18"/>
              </w:rPr>
              <w:t>3.648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5DD792"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23DA4C"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7D7A82C7" w14:textId="77777777" w:rsidR="002117B2" w:rsidRDefault="002117B2">
            <w:pPr>
              <w:spacing w:after="0"/>
              <w:ind w:left="2" w:right="2"/>
            </w:pPr>
          </w:p>
        </w:tc>
      </w:tr>
      <w:tr w:rsidR="002117B2" w14:paraId="1A5EDB6B"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801ACF5"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355152A"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199DC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C7045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FE196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216D2B" w14:textId="77777777" w:rsidR="002117B2" w:rsidRDefault="00616284">
            <w:pPr>
              <w:spacing w:after="0"/>
              <w:ind w:left="2" w:right="2"/>
            </w:pPr>
            <w:r>
              <w:rPr>
                <w:rFonts w:ascii="Calibri" w:eastAsia="Calibri" w:hAnsi="Calibri" w:cs="Calibri"/>
                <w:color w:val="111111"/>
                <w:sz w:val="18"/>
                <w:szCs w:val="18"/>
              </w:rPr>
              <w:t>2.695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65E211"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9E58AE"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44BCCF05" w14:textId="77777777" w:rsidR="002117B2" w:rsidRDefault="002117B2">
            <w:pPr>
              <w:spacing w:after="0"/>
              <w:ind w:left="2" w:right="2"/>
            </w:pPr>
          </w:p>
        </w:tc>
      </w:tr>
      <w:tr w:rsidR="002117B2" w14:paraId="62EE7862"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414613A"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CE2C13D"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1C32D5"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D6B78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4C491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9D7A16" w14:textId="77777777" w:rsidR="002117B2" w:rsidRDefault="00616284">
            <w:pPr>
              <w:spacing w:after="0"/>
              <w:ind w:left="2" w:right="2"/>
            </w:pPr>
            <w:r>
              <w:rPr>
                <w:rFonts w:ascii="Calibri" w:eastAsia="Calibri" w:hAnsi="Calibri" w:cs="Calibri"/>
                <w:color w:val="111111"/>
                <w:sz w:val="18"/>
                <w:szCs w:val="18"/>
              </w:rPr>
              <w:t>2.575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615956"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AD0CAF"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15CC8A9D" w14:textId="77777777" w:rsidR="002117B2" w:rsidRDefault="002117B2">
            <w:pPr>
              <w:spacing w:after="0"/>
              <w:ind w:left="2" w:right="2"/>
            </w:pPr>
          </w:p>
        </w:tc>
      </w:tr>
      <w:tr w:rsidR="002117B2" w14:paraId="06AC98DB"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18D2F26"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056C60E"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F8EDA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C25FC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E1715E"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C70AB3" w14:textId="77777777" w:rsidR="002117B2" w:rsidRDefault="00616284">
            <w:pPr>
              <w:spacing w:after="0"/>
              <w:ind w:left="2" w:right="2"/>
            </w:pPr>
            <w:r>
              <w:rPr>
                <w:rFonts w:ascii="Calibri" w:eastAsia="Calibri" w:hAnsi="Calibri" w:cs="Calibri"/>
                <w:color w:val="111111"/>
                <w:sz w:val="18"/>
                <w:szCs w:val="18"/>
              </w:rPr>
              <w:t>2.435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F24FEA"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F0AA82"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20CA29A6" w14:textId="77777777" w:rsidR="002117B2" w:rsidRDefault="002117B2">
            <w:pPr>
              <w:spacing w:after="0"/>
              <w:ind w:left="2" w:right="2"/>
            </w:pPr>
          </w:p>
        </w:tc>
      </w:tr>
      <w:tr w:rsidR="002117B2" w14:paraId="089F7B80"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670AAFA"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B5C131C"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55EE4B"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A373E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A2821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6695E2" w14:textId="77777777" w:rsidR="002117B2" w:rsidRDefault="00616284">
            <w:pPr>
              <w:spacing w:after="0"/>
              <w:ind w:left="2" w:right="2"/>
            </w:pPr>
            <w:r>
              <w:rPr>
                <w:rFonts w:ascii="Calibri" w:eastAsia="Calibri" w:hAnsi="Calibri" w:cs="Calibri"/>
                <w:color w:val="111111"/>
                <w:sz w:val="18"/>
                <w:szCs w:val="18"/>
              </w:rPr>
              <w:t>2.272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90E8E7"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43ABAE"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1A1DE9CF" w14:textId="77777777" w:rsidR="002117B2" w:rsidRDefault="002117B2">
            <w:pPr>
              <w:spacing w:after="0"/>
              <w:ind w:left="2" w:right="2"/>
            </w:pPr>
          </w:p>
        </w:tc>
      </w:tr>
      <w:tr w:rsidR="002117B2" w14:paraId="26081175"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951940C"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79A97330"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74B4E8AD"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5B4F38F2"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09487EC0"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3D332F44"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6FA92149" w14:textId="77777777" w:rsidR="002117B2" w:rsidRPr="00616284" w:rsidRDefault="002117B2">
            <w:pPr>
              <w:spacing w:after="0"/>
              <w:ind w:left="2" w:right="2"/>
              <w:rPr>
                <w:sz w:val="18"/>
                <w:szCs w:val="18"/>
              </w:rPr>
            </w:pPr>
          </w:p>
        </w:tc>
        <w:tc>
          <w:tcPr>
            <w:tcW w:w="2074" w:type="dxa"/>
            <w:shd w:val="clear" w:color="auto" w:fill="BDD7EE"/>
            <w:tcMar>
              <w:top w:w="0" w:type="dxa"/>
              <w:left w:w="0" w:type="dxa"/>
              <w:bottom w:w="0" w:type="dxa"/>
              <w:right w:w="0" w:type="dxa"/>
            </w:tcMar>
            <w:vAlign w:val="center"/>
          </w:tcPr>
          <w:p w14:paraId="466EE8B4" w14:textId="77777777" w:rsidR="002117B2" w:rsidRPr="00616284" w:rsidRDefault="002117B2">
            <w:pPr>
              <w:spacing w:after="0"/>
              <w:ind w:left="2" w:right="2"/>
              <w:rPr>
                <w:sz w:val="18"/>
                <w:szCs w:val="18"/>
              </w:rPr>
            </w:pPr>
          </w:p>
        </w:tc>
        <w:tc>
          <w:tcPr>
            <w:tcW w:w="283" w:type="dxa"/>
            <w:tcBorders>
              <w:right w:val="single" w:sz="8" w:space="0" w:color="000000"/>
            </w:tcBorders>
            <w:shd w:val="clear" w:color="auto" w:fill="BDD7EE"/>
            <w:tcMar>
              <w:top w:w="0" w:type="dxa"/>
              <w:left w:w="0" w:type="dxa"/>
              <w:bottom w:w="0" w:type="dxa"/>
              <w:right w:w="0" w:type="dxa"/>
            </w:tcMar>
            <w:vAlign w:val="center"/>
          </w:tcPr>
          <w:p w14:paraId="27E20C8C" w14:textId="77777777" w:rsidR="002117B2" w:rsidRPr="00616284" w:rsidRDefault="002117B2">
            <w:pPr>
              <w:spacing w:after="0"/>
              <w:ind w:left="2" w:right="2"/>
              <w:rPr>
                <w:sz w:val="18"/>
                <w:szCs w:val="18"/>
              </w:rPr>
            </w:pPr>
          </w:p>
        </w:tc>
      </w:tr>
      <w:tr w:rsidR="002117B2" w14:paraId="6CA9A335"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E926AA1"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72117402"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29C628B" w14:textId="77777777" w:rsidR="002117B2" w:rsidRDefault="00616284">
            <w:pPr>
              <w:spacing w:after="0"/>
              <w:ind w:left="2" w:right="2"/>
              <w:jc w:val="center"/>
            </w:pPr>
            <w:r>
              <w:rPr>
                <w:rFonts w:ascii="Calibri" w:eastAsia="Calibri" w:hAnsi="Calibri" w:cs="Calibri"/>
                <w:b/>
                <w:color w:val="111111"/>
                <w:sz w:val="18"/>
                <w:szCs w:val="18"/>
              </w:rPr>
              <w:t>Revised Estimate received from MS (kt)</w:t>
            </w:r>
          </w:p>
        </w:tc>
        <w:tc>
          <w:tcPr>
            <w:tcW w:w="2074"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47D4509" w14:textId="77777777" w:rsidR="002117B2" w:rsidRDefault="00616284">
            <w:pPr>
              <w:spacing w:after="0"/>
              <w:ind w:left="2" w:right="2"/>
              <w:jc w:val="center"/>
            </w:pPr>
            <w:r>
              <w:rPr>
                <w:rFonts w:ascii="Calibri" w:eastAsia="Calibri" w:hAnsi="Calibri" w:cs="Calibri"/>
                <w:b/>
                <w:color w:val="111111"/>
                <w:sz w:val="18"/>
                <w:szCs w:val="18"/>
              </w:rPr>
              <w:t>Notes</w:t>
            </w:r>
          </w:p>
        </w:tc>
        <w:tc>
          <w:tcPr>
            <w:tcW w:w="283" w:type="dxa"/>
            <w:tcBorders>
              <w:right w:val="single" w:sz="8" w:space="0" w:color="000000"/>
            </w:tcBorders>
            <w:shd w:val="clear" w:color="auto" w:fill="BDD7EE"/>
            <w:tcMar>
              <w:top w:w="0" w:type="dxa"/>
              <w:left w:w="0" w:type="dxa"/>
              <w:bottom w:w="0" w:type="dxa"/>
              <w:right w:w="0" w:type="dxa"/>
            </w:tcMar>
            <w:vAlign w:val="center"/>
          </w:tcPr>
          <w:p w14:paraId="34CE629B" w14:textId="77777777" w:rsidR="002117B2" w:rsidRDefault="002117B2">
            <w:pPr>
              <w:spacing w:after="0"/>
              <w:ind w:left="2" w:right="2"/>
              <w:jc w:val="center"/>
            </w:pPr>
          </w:p>
        </w:tc>
      </w:tr>
      <w:tr w:rsidR="002117B2" w14:paraId="7C374A6E"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2E70C5C"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4D1F2AD"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55794BC" w14:textId="2EAA72E3"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BF1F1D9"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BD7EDEB" w14:textId="3198DC25"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5CF3347" w14:textId="1B937E2E"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8EEFBA3" w14:textId="7F05CB8E"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2074"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3389C0B" w14:textId="77777777" w:rsidR="002117B2" w:rsidRDefault="002117B2">
            <w:pPr>
              <w:spacing w:after="0"/>
              <w:ind w:left="2" w:right="2"/>
              <w:jc w:val="center"/>
            </w:pPr>
          </w:p>
        </w:tc>
        <w:tc>
          <w:tcPr>
            <w:tcW w:w="283" w:type="dxa"/>
            <w:tcBorders>
              <w:right w:val="single" w:sz="8" w:space="0" w:color="000000"/>
            </w:tcBorders>
            <w:shd w:val="clear" w:color="auto" w:fill="BDD7EE"/>
            <w:tcMar>
              <w:top w:w="0" w:type="dxa"/>
              <w:left w:w="0" w:type="dxa"/>
              <w:bottom w:w="0" w:type="dxa"/>
              <w:right w:w="0" w:type="dxa"/>
            </w:tcMar>
            <w:vAlign w:val="center"/>
          </w:tcPr>
          <w:p w14:paraId="1DC72731" w14:textId="77777777" w:rsidR="002117B2" w:rsidRDefault="002117B2">
            <w:pPr>
              <w:spacing w:after="0"/>
              <w:ind w:left="2" w:right="2"/>
              <w:jc w:val="center"/>
            </w:pPr>
          </w:p>
        </w:tc>
      </w:tr>
      <w:tr w:rsidR="002117B2" w14:paraId="58239238"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02F50AC"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236DA48"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60E97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E9C7A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9E60C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F4D60A" w14:textId="77777777" w:rsidR="002117B2" w:rsidRDefault="00616284">
            <w:pPr>
              <w:spacing w:after="0"/>
              <w:ind w:left="2" w:right="2"/>
            </w:pPr>
            <w:r>
              <w:rPr>
                <w:rFonts w:ascii="Calibri" w:eastAsia="Calibri" w:hAnsi="Calibri" w:cs="Calibri"/>
                <w:color w:val="111111"/>
                <w:sz w:val="18"/>
                <w:szCs w:val="18"/>
              </w:rPr>
              <w:t>5.271</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C42C9B"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EFEA28"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77F6F50B" w14:textId="77777777" w:rsidR="002117B2" w:rsidRDefault="002117B2">
            <w:pPr>
              <w:spacing w:after="0"/>
              <w:ind w:left="2" w:right="2"/>
            </w:pPr>
          </w:p>
        </w:tc>
      </w:tr>
      <w:tr w:rsidR="002117B2" w14:paraId="240E94F1"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7AD457C"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D4F8966"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5708B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F6154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9BBCB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A42DB8" w14:textId="77777777" w:rsidR="002117B2" w:rsidRDefault="00616284">
            <w:pPr>
              <w:spacing w:after="0"/>
              <w:ind w:left="2" w:right="2"/>
            </w:pPr>
            <w:r>
              <w:rPr>
                <w:rFonts w:ascii="Calibri" w:eastAsia="Calibri" w:hAnsi="Calibri" w:cs="Calibri"/>
                <w:color w:val="111111"/>
                <w:sz w:val="18"/>
                <w:szCs w:val="18"/>
              </w:rPr>
              <w:t>4.392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7AD93E"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ECDA7E"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0586EBBE" w14:textId="77777777" w:rsidR="002117B2" w:rsidRDefault="002117B2">
            <w:pPr>
              <w:spacing w:after="0"/>
              <w:ind w:left="2" w:right="2"/>
            </w:pPr>
          </w:p>
        </w:tc>
      </w:tr>
      <w:tr w:rsidR="002117B2" w14:paraId="0A714850"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E74AEE0"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D65B299"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816EA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7EB2B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9A08B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4D46AD" w14:textId="77777777" w:rsidR="002117B2" w:rsidRDefault="00616284">
            <w:pPr>
              <w:spacing w:after="0"/>
              <w:ind w:left="2" w:right="2"/>
            </w:pPr>
            <w:r>
              <w:rPr>
                <w:rFonts w:ascii="Calibri" w:eastAsia="Calibri" w:hAnsi="Calibri" w:cs="Calibri"/>
                <w:color w:val="111111"/>
                <w:sz w:val="18"/>
                <w:szCs w:val="18"/>
              </w:rPr>
              <w:t>3.287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9D076D"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32E3B9"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29570541" w14:textId="77777777" w:rsidR="002117B2" w:rsidRDefault="002117B2">
            <w:pPr>
              <w:spacing w:after="0"/>
              <w:ind w:left="2" w:right="2"/>
            </w:pPr>
          </w:p>
        </w:tc>
      </w:tr>
      <w:tr w:rsidR="002117B2" w14:paraId="0B2116C9"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6EFD34B"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989C0DC"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B87EE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E8581A"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88B98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427950" w14:textId="77777777" w:rsidR="002117B2" w:rsidRDefault="00616284">
            <w:pPr>
              <w:spacing w:after="0"/>
              <w:ind w:left="2" w:right="2"/>
            </w:pPr>
            <w:r>
              <w:rPr>
                <w:rFonts w:ascii="Calibri" w:eastAsia="Calibri" w:hAnsi="Calibri" w:cs="Calibri"/>
                <w:color w:val="111111"/>
                <w:sz w:val="18"/>
                <w:szCs w:val="18"/>
              </w:rPr>
              <w:t>3.168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34C2E9"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263E1C"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2E298D5E" w14:textId="77777777" w:rsidR="002117B2" w:rsidRDefault="002117B2">
            <w:pPr>
              <w:spacing w:after="0"/>
              <w:ind w:left="2" w:right="2"/>
            </w:pPr>
          </w:p>
        </w:tc>
      </w:tr>
      <w:tr w:rsidR="002117B2" w14:paraId="629FC51D"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F73C303"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70D0116"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EF8F4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58219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0D30F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1C336B" w14:textId="77777777" w:rsidR="002117B2" w:rsidRDefault="00616284">
            <w:pPr>
              <w:spacing w:after="0"/>
              <w:ind w:left="2" w:right="2"/>
            </w:pPr>
            <w:r>
              <w:rPr>
                <w:rFonts w:ascii="Calibri" w:eastAsia="Calibri" w:hAnsi="Calibri" w:cs="Calibri"/>
                <w:color w:val="111111"/>
                <w:sz w:val="18"/>
                <w:szCs w:val="18"/>
              </w:rPr>
              <w:t>2.988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ED78D9"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41E2AB"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19A178B0" w14:textId="77777777" w:rsidR="002117B2" w:rsidRDefault="002117B2">
            <w:pPr>
              <w:spacing w:after="0"/>
              <w:ind w:left="2" w:right="2"/>
            </w:pPr>
          </w:p>
        </w:tc>
      </w:tr>
      <w:tr w:rsidR="002117B2" w14:paraId="60DBC22E"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659C6D3"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D2D4599"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D3DA3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6775C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1F230C"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905A93" w14:textId="77777777" w:rsidR="002117B2" w:rsidRDefault="00616284">
            <w:pPr>
              <w:spacing w:after="0"/>
              <w:ind w:left="2" w:right="2"/>
            </w:pPr>
            <w:r>
              <w:rPr>
                <w:rFonts w:ascii="Calibri" w:eastAsia="Calibri" w:hAnsi="Calibri" w:cs="Calibri"/>
                <w:color w:val="111111"/>
                <w:sz w:val="18"/>
                <w:szCs w:val="18"/>
              </w:rPr>
              <w:t>2.772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EFA3B9"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68E6D2"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366BCE72" w14:textId="77777777" w:rsidR="002117B2" w:rsidRDefault="002117B2">
            <w:pPr>
              <w:spacing w:after="0"/>
              <w:ind w:left="2" w:right="2"/>
            </w:pPr>
          </w:p>
        </w:tc>
      </w:tr>
      <w:tr w:rsidR="002117B2" w14:paraId="08037B9E"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9B54596"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6A3B7464"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05ED058F"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70FB01A2"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687A9704"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42005556" w14:textId="77777777" w:rsidR="002117B2" w:rsidRPr="00616284" w:rsidRDefault="002117B2">
            <w:pPr>
              <w:spacing w:after="0"/>
              <w:ind w:left="2" w:right="2"/>
              <w:rPr>
                <w:sz w:val="18"/>
                <w:szCs w:val="18"/>
              </w:rPr>
            </w:pPr>
          </w:p>
        </w:tc>
        <w:tc>
          <w:tcPr>
            <w:tcW w:w="1123" w:type="dxa"/>
            <w:shd w:val="clear" w:color="auto" w:fill="BDD7EE"/>
            <w:tcMar>
              <w:top w:w="0" w:type="dxa"/>
              <w:left w:w="0" w:type="dxa"/>
              <w:bottom w:w="0" w:type="dxa"/>
              <w:right w:w="0" w:type="dxa"/>
            </w:tcMar>
            <w:vAlign w:val="center"/>
          </w:tcPr>
          <w:p w14:paraId="21D698C3" w14:textId="77777777" w:rsidR="002117B2" w:rsidRPr="00616284" w:rsidRDefault="002117B2">
            <w:pPr>
              <w:spacing w:after="0"/>
              <w:ind w:left="2" w:right="2"/>
              <w:rPr>
                <w:sz w:val="18"/>
                <w:szCs w:val="18"/>
              </w:rPr>
            </w:pPr>
          </w:p>
        </w:tc>
        <w:tc>
          <w:tcPr>
            <w:tcW w:w="2074" w:type="dxa"/>
            <w:shd w:val="clear" w:color="auto" w:fill="BDD7EE"/>
            <w:tcMar>
              <w:top w:w="0" w:type="dxa"/>
              <w:left w:w="0" w:type="dxa"/>
              <w:bottom w:w="0" w:type="dxa"/>
              <w:right w:w="0" w:type="dxa"/>
            </w:tcMar>
            <w:vAlign w:val="center"/>
          </w:tcPr>
          <w:p w14:paraId="40AF467C" w14:textId="77777777" w:rsidR="002117B2" w:rsidRPr="00616284" w:rsidRDefault="002117B2">
            <w:pPr>
              <w:spacing w:after="0"/>
              <w:ind w:left="2" w:right="2"/>
              <w:rPr>
                <w:sz w:val="18"/>
                <w:szCs w:val="18"/>
              </w:rPr>
            </w:pPr>
          </w:p>
        </w:tc>
        <w:tc>
          <w:tcPr>
            <w:tcW w:w="283" w:type="dxa"/>
            <w:tcBorders>
              <w:right w:val="single" w:sz="8" w:space="0" w:color="000000"/>
            </w:tcBorders>
            <w:shd w:val="clear" w:color="auto" w:fill="BDD7EE"/>
            <w:tcMar>
              <w:top w:w="0" w:type="dxa"/>
              <w:left w:w="0" w:type="dxa"/>
              <w:bottom w:w="0" w:type="dxa"/>
              <w:right w:w="0" w:type="dxa"/>
            </w:tcMar>
            <w:vAlign w:val="center"/>
          </w:tcPr>
          <w:p w14:paraId="1F2FCE21" w14:textId="77777777" w:rsidR="002117B2" w:rsidRPr="00616284" w:rsidRDefault="002117B2">
            <w:pPr>
              <w:spacing w:after="0"/>
              <w:ind w:left="2" w:right="2"/>
              <w:rPr>
                <w:sz w:val="18"/>
                <w:szCs w:val="18"/>
              </w:rPr>
            </w:pPr>
          </w:p>
        </w:tc>
      </w:tr>
      <w:tr w:rsidR="002117B2" w14:paraId="398327AA"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8AA15A6" w14:textId="77777777" w:rsidR="002117B2" w:rsidRDefault="002117B2">
            <w:pPr>
              <w:spacing w:after="0"/>
              <w:ind w:left="2" w:right="2"/>
              <w:jc w:val="center"/>
            </w:pPr>
          </w:p>
        </w:tc>
        <w:tc>
          <w:tcPr>
            <w:tcW w:w="1440" w:type="dxa"/>
            <w:shd w:val="clear" w:color="auto" w:fill="BDD7EE"/>
            <w:tcMar>
              <w:top w:w="0" w:type="dxa"/>
              <w:left w:w="0" w:type="dxa"/>
              <w:bottom w:w="0" w:type="dxa"/>
              <w:right w:w="0" w:type="dxa"/>
            </w:tcMar>
            <w:vAlign w:val="center"/>
          </w:tcPr>
          <w:p w14:paraId="000D2C18" w14:textId="77777777" w:rsidR="002117B2" w:rsidRDefault="002117B2">
            <w:pPr>
              <w:spacing w:after="0"/>
              <w:ind w:left="2" w:right="2"/>
              <w:jc w:val="center"/>
            </w:pPr>
          </w:p>
        </w:tc>
        <w:tc>
          <w:tcPr>
            <w:tcW w:w="5615" w:type="dxa"/>
            <w:gridSpan w:val="5"/>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4613D55" w14:textId="77777777" w:rsidR="002117B2" w:rsidRDefault="00616284">
            <w:pPr>
              <w:spacing w:after="0"/>
              <w:ind w:left="2" w:right="2"/>
              <w:jc w:val="center"/>
            </w:pPr>
            <w:r>
              <w:rPr>
                <w:rFonts w:ascii="Calibri" w:eastAsia="Calibri" w:hAnsi="Calibri" w:cs="Calibri"/>
                <w:b/>
                <w:color w:val="111111"/>
                <w:sz w:val="18"/>
                <w:szCs w:val="18"/>
              </w:rPr>
              <w:t>Difference between Original Estimate and Revised Estimate (kt)</w:t>
            </w:r>
          </w:p>
        </w:tc>
        <w:tc>
          <w:tcPr>
            <w:tcW w:w="2074"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17AAA96" w14:textId="77777777" w:rsidR="002117B2" w:rsidRDefault="00616284">
            <w:pPr>
              <w:spacing w:after="0"/>
              <w:ind w:left="2" w:right="2"/>
              <w:jc w:val="center"/>
            </w:pPr>
            <w:r>
              <w:rPr>
                <w:rFonts w:ascii="Calibri" w:eastAsia="Calibri" w:hAnsi="Calibri" w:cs="Calibri"/>
                <w:b/>
                <w:color w:val="111111"/>
                <w:sz w:val="18"/>
                <w:szCs w:val="18"/>
              </w:rPr>
              <w:t>Notes</w:t>
            </w:r>
          </w:p>
        </w:tc>
        <w:tc>
          <w:tcPr>
            <w:tcW w:w="283" w:type="dxa"/>
            <w:tcBorders>
              <w:right w:val="single" w:sz="8" w:space="0" w:color="000000"/>
            </w:tcBorders>
            <w:shd w:val="clear" w:color="auto" w:fill="BDD7EE"/>
            <w:tcMar>
              <w:top w:w="0" w:type="dxa"/>
              <w:left w:w="0" w:type="dxa"/>
              <w:bottom w:w="0" w:type="dxa"/>
              <w:right w:w="0" w:type="dxa"/>
            </w:tcMar>
            <w:vAlign w:val="center"/>
          </w:tcPr>
          <w:p w14:paraId="09EF39A5" w14:textId="77777777" w:rsidR="002117B2" w:rsidRDefault="002117B2">
            <w:pPr>
              <w:spacing w:after="0"/>
              <w:ind w:left="2" w:right="2"/>
              <w:jc w:val="center"/>
            </w:pPr>
          </w:p>
        </w:tc>
      </w:tr>
      <w:tr w:rsidR="002117B2" w14:paraId="5CBFBCD1"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7956B7D"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A49863C" w14:textId="77777777" w:rsidR="002117B2" w:rsidRDefault="00616284">
            <w:pPr>
              <w:spacing w:after="0"/>
              <w:ind w:left="2" w:right="2"/>
              <w:jc w:val="center"/>
            </w:pPr>
            <w:r>
              <w:rPr>
                <w:rFonts w:ascii="Calibri" w:eastAsia="Calibri" w:hAnsi="Calibri" w:cs="Calibri"/>
                <w:color w:val="111111"/>
                <w:sz w:val="18"/>
                <w:szCs w:val="18"/>
              </w:rPr>
              <w:t>Year</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1AF6DF6" w14:textId="75C36484" w:rsidR="002117B2" w:rsidRDefault="00616284">
            <w:pPr>
              <w:spacing w:after="0"/>
              <w:ind w:left="2" w:right="2"/>
              <w:jc w:val="center"/>
            </w:pPr>
            <w:r w:rsidRPr="00616284">
              <w:rPr>
                <w:rFonts w:ascii="Calibri" w:eastAsia="Calibri" w:hAnsi="Calibri" w:cs="Calibri"/>
                <w:color w:val="111111"/>
                <w:sz w:val="18"/>
                <w:szCs w:val="18"/>
              </w:rPr>
              <w:t>NO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21A38C1" w14:textId="77777777" w:rsidR="002117B2" w:rsidRDefault="00616284">
            <w:pPr>
              <w:spacing w:after="0"/>
              <w:ind w:left="2" w:right="2"/>
              <w:jc w:val="center"/>
            </w:pPr>
            <w:r>
              <w:rPr>
                <w:rFonts w:ascii="Calibri" w:eastAsia="Calibri" w:hAnsi="Calibri" w:cs="Calibri"/>
                <w:color w:val="111111"/>
                <w:sz w:val="18"/>
                <w:szCs w:val="18"/>
              </w:rPr>
              <w:t>NMVOC</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3001B68" w14:textId="17441639" w:rsidR="002117B2" w:rsidRDefault="00616284">
            <w:pPr>
              <w:spacing w:after="0"/>
              <w:ind w:left="2" w:right="2"/>
              <w:jc w:val="center"/>
            </w:pPr>
            <w:r w:rsidRPr="00616284">
              <w:rPr>
                <w:rFonts w:ascii="Calibri" w:eastAsia="Calibri" w:hAnsi="Calibri" w:cs="Calibri"/>
                <w:color w:val="111111"/>
                <w:sz w:val="18"/>
                <w:szCs w:val="18"/>
              </w:rPr>
              <w:t>SO</w:t>
            </w:r>
            <w:r w:rsidRPr="00616284">
              <w:rPr>
                <w:rFonts w:ascii="Calibri" w:eastAsia="Calibri" w:hAnsi="Calibri" w:cs="Calibri"/>
                <w:color w:val="111111"/>
                <w:sz w:val="18"/>
                <w:szCs w:val="18"/>
                <w:vertAlign w:val="subscript"/>
              </w:rPr>
              <w:t>X</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6282FB6" w14:textId="65E6D0FF" w:rsidR="002117B2" w:rsidRDefault="00616284">
            <w:pPr>
              <w:spacing w:after="0"/>
              <w:ind w:left="2" w:right="2"/>
              <w:jc w:val="center"/>
            </w:pPr>
            <w:r w:rsidRPr="00616284">
              <w:rPr>
                <w:rFonts w:ascii="Calibri" w:eastAsia="Calibri" w:hAnsi="Calibri" w:cs="Calibri"/>
                <w:color w:val="111111"/>
                <w:sz w:val="18"/>
                <w:szCs w:val="18"/>
              </w:rPr>
              <w:t>NH</w:t>
            </w:r>
            <w:r w:rsidRPr="00616284">
              <w:rPr>
                <w:rFonts w:ascii="Calibri" w:eastAsia="Calibri" w:hAnsi="Calibri" w:cs="Calibri"/>
                <w:color w:val="111111"/>
                <w:sz w:val="18"/>
                <w:szCs w:val="18"/>
                <w:vertAlign w:val="subscript"/>
              </w:rPr>
              <w:t>3</w:t>
            </w:r>
          </w:p>
        </w:tc>
        <w:tc>
          <w:tcPr>
            <w:tcW w:w="1123"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EBB252B" w14:textId="0696CE0F" w:rsidR="002117B2" w:rsidRDefault="00616284">
            <w:pPr>
              <w:spacing w:after="0"/>
              <w:ind w:left="2" w:right="2"/>
              <w:jc w:val="center"/>
            </w:pPr>
            <w:r w:rsidRPr="00616284">
              <w:rPr>
                <w:rFonts w:ascii="Calibri" w:eastAsia="Calibri" w:hAnsi="Calibri" w:cs="Calibri"/>
                <w:color w:val="111111"/>
                <w:sz w:val="18"/>
                <w:szCs w:val="18"/>
              </w:rPr>
              <w:t>PM</w:t>
            </w:r>
            <w:r w:rsidRPr="00616284">
              <w:rPr>
                <w:rFonts w:ascii="Calibri" w:eastAsia="Calibri" w:hAnsi="Calibri" w:cs="Calibri"/>
                <w:color w:val="111111"/>
                <w:sz w:val="18"/>
                <w:szCs w:val="18"/>
                <w:vertAlign w:val="subscript"/>
              </w:rPr>
              <w:t>2.5</w:t>
            </w:r>
          </w:p>
        </w:tc>
        <w:tc>
          <w:tcPr>
            <w:tcW w:w="2074"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C8DCA79" w14:textId="77777777" w:rsidR="002117B2" w:rsidRDefault="002117B2">
            <w:pPr>
              <w:spacing w:after="0"/>
              <w:ind w:left="2" w:right="2"/>
              <w:jc w:val="center"/>
            </w:pPr>
          </w:p>
        </w:tc>
        <w:tc>
          <w:tcPr>
            <w:tcW w:w="283" w:type="dxa"/>
            <w:tcBorders>
              <w:right w:val="single" w:sz="8" w:space="0" w:color="000000"/>
            </w:tcBorders>
            <w:shd w:val="clear" w:color="auto" w:fill="BDD7EE"/>
            <w:tcMar>
              <w:top w:w="0" w:type="dxa"/>
              <w:left w:w="0" w:type="dxa"/>
              <w:bottom w:w="0" w:type="dxa"/>
              <w:right w:w="0" w:type="dxa"/>
            </w:tcMar>
            <w:vAlign w:val="center"/>
          </w:tcPr>
          <w:p w14:paraId="069D5482" w14:textId="77777777" w:rsidR="002117B2" w:rsidRDefault="002117B2">
            <w:pPr>
              <w:spacing w:after="0"/>
              <w:ind w:left="2" w:right="2"/>
              <w:jc w:val="center"/>
            </w:pPr>
          </w:p>
        </w:tc>
      </w:tr>
      <w:tr w:rsidR="002117B2" w14:paraId="50D8627E"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2BB839B"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EB49771" w14:textId="77777777" w:rsidR="002117B2" w:rsidRDefault="00616284">
            <w:pPr>
              <w:spacing w:after="0"/>
              <w:ind w:left="2" w:right="2"/>
              <w:jc w:val="center"/>
            </w:pPr>
            <w:r>
              <w:rPr>
                <w:rFonts w:ascii="Calibri" w:eastAsia="Calibri" w:hAnsi="Calibri" w:cs="Calibri"/>
                <w:color w:val="111111"/>
                <w:sz w:val="18"/>
                <w:szCs w:val="18"/>
              </w:rPr>
              <w:t>2005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22A47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0D327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55DE03"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3310AD" w14:textId="77777777" w:rsidR="002117B2" w:rsidRDefault="00616284">
            <w:pPr>
              <w:spacing w:after="0"/>
              <w:ind w:left="2" w:right="2"/>
            </w:pPr>
            <w:r>
              <w:rPr>
                <w:rFonts w:ascii="Calibri" w:eastAsia="Calibri" w:hAnsi="Calibri" w:cs="Calibri"/>
                <w:color w:val="111111"/>
                <w:sz w:val="18"/>
                <w:szCs w:val="18"/>
              </w:rPr>
              <w:t>0.990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1392CA"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F33656"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7B784ABE" w14:textId="77777777" w:rsidR="002117B2" w:rsidRDefault="002117B2">
            <w:pPr>
              <w:spacing w:after="0"/>
              <w:ind w:left="2" w:right="2"/>
            </w:pPr>
          </w:p>
        </w:tc>
      </w:tr>
      <w:tr w:rsidR="002117B2" w14:paraId="5EDD7D38"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8476533"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6021ED0" w14:textId="77777777" w:rsidR="002117B2" w:rsidRDefault="00616284">
            <w:pPr>
              <w:spacing w:after="0"/>
              <w:ind w:left="2" w:right="2"/>
              <w:jc w:val="center"/>
            </w:pPr>
            <w:r>
              <w:rPr>
                <w:rFonts w:ascii="Calibri" w:eastAsia="Calibri" w:hAnsi="Calibri" w:cs="Calibri"/>
                <w:color w:val="111111"/>
                <w:sz w:val="18"/>
                <w:szCs w:val="18"/>
              </w:rPr>
              <w:t>2010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64B767"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DCB9D8"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D25BA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11DFE5" w14:textId="77777777" w:rsidR="002117B2" w:rsidRDefault="00616284">
            <w:pPr>
              <w:spacing w:after="0"/>
              <w:ind w:left="2" w:right="2"/>
            </w:pPr>
            <w:r>
              <w:rPr>
                <w:rFonts w:ascii="Calibri" w:eastAsia="Calibri" w:hAnsi="Calibri" w:cs="Calibri"/>
                <w:color w:val="111111"/>
                <w:sz w:val="18"/>
                <w:szCs w:val="18"/>
              </w:rPr>
              <w:t>0.744</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C714B5"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72264A"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7533CA1C" w14:textId="77777777" w:rsidR="002117B2" w:rsidRDefault="002117B2">
            <w:pPr>
              <w:spacing w:after="0"/>
              <w:ind w:left="2" w:right="2"/>
            </w:pPr>
          </w:p>
        </w:tc>
      </w:tr>
      <w:tr w:rsidR="002117B2" w14:paraId="76A6274A"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219C0A8"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100DBC6" w14:textId="77777777" w:rsidR="002117B2" w:rsidRDefault="00616284">
            <w:pPr>
              <w:spacing w:after="0"/>
              <w:ind w:left="2" w:right="2"/>
              <w:jc w:val="center"/>
            </w:pPr>
            <w:r>
              <w:rPr>
                <w:rFonts w:ascii="Calibri" w:eastAsia="Calibri" w:hAnsi="Calibri" w:cs="Calibri"/>
                <w:color w:val="111111"/>
                <w:sz w:val="18"/>
                <w:szCs w:val="18"/>
              </w:rPr>
              <w:t>2015</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FC26C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677C3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14927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437BEE" w14:textId="77777777" w:rsidR="002117B2" w:rsidRDefault="00616284">
            <w:pPr>
              <w:spacing w:after="0"/>
              <w:ind w:left="2" w:right="2"/>
            </w:pPr>
            <w:r>
              <w:rPr>
                <w:rFonts w:ascii="Calibri" w:eastAsia="Calibri" w:hAnsi="Calibri" w:cs="Calibri"/>
                <w:color w:val="111111"/>
                <w:sz w:val="18"/>
                <w:szCs w:val="18"/>
              </w:rPr>
              <w:t>0.592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F622BD"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9F9F39"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07AC4380" w14:textId="77777777" w:rsidR="002117B2" w:rsidRDefault="002117B2">
            <w:pPr>
              <w:spacing w:after="0"/>
              <w:ind w:left="2" w:right="2"/>
            </w:pPr>
          </w:p>
        </w:tc>
      </w:tr>
      <w:tr w:rsidR="002117B2" w14:paraId="5CE335FB"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F3E3F03"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2043D1D" w14:textId="77777777" w:rsidR="002117B2" w:rsidRDefault="00616284">
            <w:pPr>
              <w:spacing w:after="0"/>
              <w:ind w:left="2" w:right="2"/>
              <w:jc w:val="center"/>
            </w:pPr>
            <w:r>
              <w:rPr>
                <w:rFonts w:ascii="Calibri" w:eastAsia="Calibri" w:hAnsi="Calibri" w:cs="Calibri"/>
                <w:color w:val="111111"/>
                <w:sz w:val="18"/>
                <w:szCs w:val="18"/>
              </w:rPr>
              <w:t>2016</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A97860"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7BB1A6"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5AFEAD"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E916BB" w14:textId="77777777" w:rsidR="002117B2" w:rsidRDefault="00616284">
            <w:pPr>
              <w:spacing w:after="0"/>
              <w:ind w:left="2" w:right="2"/>
            </w:pPr>
            <w:r>
              <w:rPr>
                <w:rFonts w:ascii="Calibri" w:eastAsia="Calibri" w:hAnsi="Calibri" w:cs="Calibri"/>
                <w:color w:val="111111"/>
                <w:sz w:val="18"/>
                <w:szCs w:val="18"/>
              </w:rPr>
              <w:t>0.592</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19BC47"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58E068"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3FA5F635" w14:textId="77777777" w:rsidR="002117B2" w:rsidRDefault="002117B2">
            <w:pPr>
              <w:spacing w:after="0"/>
              <w:ind w:left="2" w:right="2"/>
            </w:pPr>
          </w:p>
        </w:tc>
      </w:tr>
      <w:tr w:rsidR="002117B2" w14:paraId="7A90BABC"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39AB926"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1BDADEA" w14:textId="77777777" w:rsidR="002117B2" w:rsidRDefault="00616284">
            <w:pPr>
              <w:spacing w:after="0"/>
              <w:ind w:left="2" w:right="2"/>
              <w:jc w:val="center"/>
            </w:pPr>
            <w:r>
              <w:rPr>
                <w:rFonts w:ascii="Calibri" w:eastAsia="Calibri" w:hAnsi="Calibri" w:cs="Calibri"/>
                <w:color w:val="111111"/>
                <w:sz w:val="18"/>
                <w:szCs w:val="18"/>
              </w:rPr>
              <w:t>2017</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C5ABF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6236C2"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DB9421"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CEA627" w14:textId="77777777" w:rsidR="002117B2" w:rsidRDefault="00616284">
            <w:pPr>
              <w:spacing w:after="0"/>
              <w:ind w:left="2" w:right="2"/>
            </w:pPr>
            <w:r>
              <w:rPr>
                <w:rFonts w:ascii="Calibri" w:eastAsia="Calibri" w:hAnsi="Calibri" w:cs="Calibri"/>
                <w:color w:val="111111"/>
                <w:sz w:val="18"/>
                <w:szCs w:val="18"/>
              </w:rPr>
              <w:t>0.553</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C92325"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5641BF"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6F25072A" w14:textId="77777777" w:rsidR="002117B2" w:rsidRDefault="002117B2">
            <w:pPr>
              <w:spacing w:after="0"/>
              <w:ind w:left="2" w:right="2"/>
            </w:pPr>
          </w:p>
        </w:tc>
      </w:tr>
      <w:tr w:rsidR="002117B2" w14:paraId="6EF1170D"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D58AE78" w14:textId="77777777" w:rsidR="002117B2" w:rsidRDefault="002117B2">
            <w:pPr>
              <w:spacing w:after="0"/>
              <w:ind w:left="2" w:right="2"/>
              <w:jc w:val="center"/>
            </w:pPr>
          </w:p>
        </w:tc>
        <w:tc>
          <w:tcPr>
            <w:tcW w:w="1440"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E29E1EC" w14:textId="77777777" w:rsidR="002117B2" w:rsidRDefault="00616284">
            <w:pPr>
              <w:spacing w:after="0"/>
              <w:ind w:left="2" w:right="2"/>
              <w:jc w:val="center"/>
            </w:pPr>
            <w:r>
              <w:rPr>
                <w:rFonts w:ascii="Calibri" w:eastAsia="Calibri" w:hAnsi="Calibri" w:cs="Calibri"/>
                <w:color w:val="111111"/>
                <w:sz w:val="18"/>
                <w:szCs w:val="18"/>
              </w:rPr>
              <w:t>2018</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CCFAA4"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B85299"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459C6F" w14:textId="77777777" w:rsidR="002117B2" w:rsidRDefault="002117B2">
            <w:pPr>
              <w:spacing w:after="0"/>
              <w:ind w:left="2" w:right="2"/>
            </w:pP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8F3B0C" w14:textId="77777777" w:rsidR="002117B2" w:rsidRDefault="00616284">
            <w:pPr>
              <w:spacing w:after="0"/>
              <w:ind w:left="2" w:right="2"/>
            </w:pPr>
            <w:r>
              <w:rPr>
                <w:rFonts w:ascii="Calibri" w:eastAsia="Calibri" w:hAnsi="Calibri" w:cs="Calibri"/>
                <w:color w:val="111111"/>
                <w:sz w:val="18"/>
                <w:szCs w:val="18"/>
              </w:rPr>
              <w:t>0.500</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D90458" w14:textId="77777777" w:rsidR="002117B2" w:rsidRDefault="002117B2">
            <w:pPr>
              <w:spacing w:after="0"/>
              <w:ind w:left="2" w:right="2"/>
            </w:pP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88544B" w14:textId="77777777" w:rsidR="002117B2" w:rsidRDefault="002117B2">
            <w:pPr>
              <w:spacing w:after="0"/>
              <w:ind w:left="2" w:right="2"/>
            </w:pPr>
          </w:p>
        </w:tc>
        <w:tc>
          <w:tcPr>
            <w:tcW w:w="283" w:type="dxa"/>
            <w:tcBorders>
              <w:right w:val="single" w:sz="8" w:space="0" w:color="000000"/>
            </w:tcBorders>
            <w:shd w:val="clear" w:color="auto" w:fill="BDD7EE"/>
            <w:tcMar>
              <w:top w:w="0" w:type="dxa"/>
              <w:left w:w="0" w:type="dxa"/>
              <w:bottom w:w="0" w:type="dxa"/>
              <w:right w:w="0" w:type="dxa"/>
            </w:tcMar>
            <w:vAlign w:val="center"/>
          </w:tcPr>
          <w:p w14:paraId="7216C784" w14:textId="77777777" w:rsidR="002117B2" w:rsidRDefault="002117B2">
            <w:pPr>
              <w:spacing w:after="0"/>
              <w:ind w:left="2" w:right="2"/>
            </w:pPr>
          </w:p>
        </w:tc>
      </w:tr>
      <w:tr w:rsidR="002117B2" w14:paraId="5D19E4D5" w14:textId="77777777" w:rsidTr="00616284">
        <w:trPr>
          <w:cantSplit/>
          <w:jc w:val="center"/>
        </w:trPr>
        <w:tc>
          <w:tcPr>
            <w:tcW w:w="217"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20E308E" w14:textId="77777777" w:rsidR="002117B2" w:rsidRDefault="002117B2">
            <w:pPr>
              <w:spacing w:after="0"/>
              <w:ind w:left="2" w:right="2"/>
              <w:jc w:val="center"/>
            </w:pPr>
          </w:p>
        </w:tc>
        <w:tc>
          <w:tcPr>
            <w:tcW w:w="1440" w:type="dxa"/>
            <w:tcBorders>
              <w:bottom w:val="single" w:sz="8" w:space="0" w:color="000000"/>
            </w:tcBorders>
            <w:shd w:val="clear" w:color="auto" w:fill="BDD7EE"/>
            <w:tcMar>
              <w:top w:w="0" w:type="dxa"/>
              <w:left w:w="0" w:type="dxa"/>
              <w:bottom w:w="0" w:type="dxa"/>
              <w:right w:w="0" w:type="dxa"/>
            </w:tcMar>
            <w:vAlign w:val="center"/>
          </w:tcPr>
          <w:p w14:paraId="6569818A" w14:textId="77777777" w:rsidR="002117B2" w:rsidRPr="00616284" w:rsidRDefault="002117B2">
            <w:pPr>
              <w:spacing w:after="0"/>
              <w:ind w:left="2" w:right="2"/>
              <w:rPr>
                <w:sz w:val="18"/>
                <w:szCs w:val="18"/>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1B9B6FB0" w14:textId="77777777" w:rsidR="002117B2" w:rsidRPr="00616284" w:rsidRDefault="002117B2">
            <w:pPr>
              <w:spacing w:after="0"/>
              <w:ind w:left="2" w:right="2"/>
              <w:rPr>
                <w:sz w:val="18"/>
                <w:szCs w:val="18"/>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351883A3" w14:textId="77777777" w:rsidR="002117B2" w:rsidRPr="00616284" w:rsidRDefault="002117B2">
            <w:pPr>
              <w:spacing w:after="0"/>
              <w:ind w:left="2" w:right="2"/>
              <w:rPr>
                <w:sz w:val="18"/>
                <w:szCs w:val="18"/>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087ECFBF" w14:textId="77777777" w:rsidR="002117B2" w:rsidRPr="00616284" w:rsidRDefault="002117B2">
            <w:pPr>
              <w:spacing w:after="0"/>
              <w:ind w:left="2" w:right="2"/>
              <w:rPr>
                <w:sz w:val="18"/>
                <w:szCs w:val="18"/>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03F48977" w14:textId="77777777" w:rsidR="002117B2" w:rsidRPr="00616284" w:rsidRDefault="002117B2">
            <w:pPr>
              <w:spacing w:after="0"/>
              <w:ind w:left="2" w:right="2"/>
              <w:rPr>
                <w:sz w:val="18"/>
                <w:szCs w:val="18"/>
              </w:rPr>
            </w:pPr>
          </w:p>
        </w:tc>
        <w:tc>
          <w:tcPr>
            <w:tcW w:w="1123" w:type="dxa"/>
            <w:tcBorders>
              <w:bottom w:val="single" w:sz="8" w:space="0" w:color="000000"/>
            </w:tcBorders>
            <w:shd w:val="clear" w:color="auto" w:fill="BDD7EE"/>
            <w:tcMar>
              <w:top w:w="0" w:type="dxa"/>
              <w:left w:w="0" w:type="dxa"/>
              <w:bottom w:w="0" w:type="dxa"/>
              <w:right w:w="0" w:type="dxa"/>
            </w:tcMar>
            <w:vAlign w:val="center"/>
          </w:tcPr>
          <w:p w14:paraId="574A3AC0" w14:textId="77777777" w:rsidR="002117B2" w:rsidRPr="00616284" w:rsidRDefault="002117B2">
            <w:pPr>
              <w:spacing w:after="0"/>
              <w:ind w:left="2" w:right="2"/>
              <w:rPr>
                <w:sz w:val="18"/>
                <w:szCs w:val="18"/>
              </w:rPr>
            </w:pPr>
          </w:p>
        </w:tc>
        <w:tc>
          <w:tcPr>
            <w:tcW w:w="2074" w:type="dxa"/>
            <w:tcBorders>
              <w:bottom w:val="single" w:sz="8" w:space="0" w:color="000000"/>
            </w:tcBorders>
            <w:shd w:val="clear" w:color="auto" w:fill="BDD7EE"/>
            <w:tcMar>
              <w:top w:w="0" w:type="dxa"/>
              <w:left w:w="0" w:type="dxa"/>
              <w:bottom w:w="0" w:type="dxa"/>
              <w:right w:w="0" w:type="dxa"/>
            </w:tcMar>
            <w:vAlign w:val="center"/>
          </w:tcPr>
          <w:p w14:paraId="55BCAB25" w14:textId="77777777" w:rsidR="002117B2" w:rsidRPr="00616284" w:rsidRDefault="002117B2">
            <w:pPr>
              <w:spacing w:after="0"/>
              <w:ind w:left="2" w:right="2"/>
              <w:rPr>
                <w:sz w:val="18"/>
                <w:szCs w:val="18"/>
              </w:rPr>
            </w:pPr>
          </w:p>
        </w:tc>
        <w:tc>
          <w:tcPr>
            <w:tcW w:w="283"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41FE8AA6" w14:textId="77777777" w:rsidR="002117B2" w:rsidRPr="00616284" w:rsidRDefault="002117B2">
            <w:pPr>
              <w:spacing w:after="0"/>
              <w:ind w:left="2" w:right="2"/>
              <w:rPr>
                <w:sz w:val="18"/>
                <w:szCs w:val="18"/>
              </w:rPr>
            </w:pPr>
          </w:p>
        </w:tc>
      </w:tr>
    </w:tbl>
    <w:p w14:paraId="456CBA1D" w14:textId="77777777" w:rsidR="002117B2" w:rsidRDefault="00616284">
      <w:r>
        <w:br w:type="page"/>
      </w:r>
    </w:p>
    <w:tbl>
      <w:tblPr>
        <w:tblW w:w="9436" w:type="dxa"/>
        <w:jc w:val="center"/>
        <w:tblLayout w:type="fixed"/>
        <w:tblLook w:val="0420" w:firstRow="1" w:lastRow="0" w:firstColumn="0" w:lastColumn="0" w:noHBand="0" w:noVBand="1"/>
      </w:tblPr>
      <w:tblGrid>
        <w:gridCol w:w="216"/>
        <w:gridCol w:w="1008"/>
        <w:gridCol w:w="756"/>
        <w:gridCol w:w="756"/>
        <w:gridCol w:w="756"/>
        <w:gridCol w:w="756"/>
        <w:gridCol w:w="756"/>
        <w:gridCol w:w="756"/>
        <w:gridCol w:w="756"/>
        <w:gridCol w:w="756"/>
        <w:gridCol w:w="1932"/>
        <w:gridCol w:w="232"/>
      </w:tblGrid>
      <w:tr w:rsidR="002117B2" w14:paraId="433D9E19" w14:textId="77777777" w:rsidTr="00E50FE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72CB23D" w14:textId="77777777" w:rsidR="002117B2" w:rsidRDefault="00616284">
            <w:pPr>
              <w:spacing w:after="0"/>
              <w:ind w:left="2" w:right="2"/>
              <w:jc w:val="center"/>
            </w:pPr>
            <w:r>
              <w:rPr>
                <w:rFonts w:ascii="Calibri" w:eastAsia="Calibri" w:hAnsi="Calibri" w:cs="Calibri"/>
                <w:b/>
                <w:color w:val="FFFFFF"/>
                <w:sz w:val="18"/>
                <w:szCs w:val="18"/>
              </w:rPr>
              <w:t>1</w:t>
            </w:r>
          </w:p>
        </w:tc>
        <w:tc>
          <w:tcPr>
            <w:tcW w:w="1008" w:type="dxa"/>
            <w:tcBorders>
              <w:top w:val="single" w:sz="8" w:space="0" w:color="000000"/>
            </w:tcBorders>
            <w:shd w:val="clear" w:color="auto" w:fill="BDD7EE"/>
            <w:tcMar>
              <w:top w:w="0" w:type="dxa"/>
              <w:left w:w="0" w:type="dxa"/>
              <w:bottom w:w="0" w:type="dxa"/>
              <w:right w:w="0" w:type="dxa"/>
            </w:tcMar>
            <w:vAlign w:val="center"/>
          </w:tcPr>
          <w:p w14:paraId="08BEC7D9" w14:textId="77777777" w:rsidR="002117B2" w:rsidRPr="00E50FE7" w:rsidRDefault="002117B2">
            <w:pPr>
              <w:spacing w:after="0"/>
              <w:ind w:left="2" w:right="2"/>
              <w:rPr>
                <w:sz w:val="14"/>
                <w:szCs w:val="14"/>
              </w:rPr>
            </w:pPr>
          </w:p>
        </w:tc>
        <w:tc>
          <w:tcPr>
            <w:tcW w:w="756" w:type="dxa"/>
            <w:tcBorders>
              <w:top w:val="single" w:sz="8" w:space="0" w:color="000000"/>
            </w:tcBorders>
            <w:shd w:val="clear" w:color="auto" w:fill="BDD7EE"/>
            <w:tcMar>
              <w:top w:w="0" w:type="dxa"/>
              <w:left w:w="0" w:type="dxa"/>
              <w:bottom w:w="0" w:type="dxa"/>
              <w:right w:w="0" w:type="dxa"/>
            </w:tcMar>
            <w:vAlign w:val="center"/>
          </w:tcPr>
          <w:p w14:paraId="1A0582B6" w14:textId="77777777" w:rsidR="002117B2" w:rsidRPr="00E50FE7" w:rsidRDefault="002117B2">
            <w:pPr>
              <w:spacing w:after="0"/>
              <w:ind w:left="2" w:right="2"/>
              <w:rPr>
                <w:sz w:val="14"/>
                <w:szCs w:val="14"/>
              </w:rPr>
            </w:pPr>
          </w:p>
        </w:tc>
        <w:tc>
          <w:tcPr>
            <w:tcW w:w="756" w:type="dxa"/>
            <w:tcBorders>
              <w:top w:val="single" w:sz="8" w:space="0" w:color="000000"/>
            </w:tcBorders>
            <w:shd w:val="clear" w:color="auto" w:fill="BDD7EE"/>
            <w:tcMar>
              <w:top w:w="0" w:type="dxa"/>
              <w:left w:w="0" w:type="dxa"/>
              <w:bottom w:w="0" w:type="dxa"/>
              <w:right w:w="0" w:type="dxa"/>
            </w:tcMar>
            <w:vAlign w:val="center"/>
          </w:tcPr>
          <w:p w14:paraId="60744067" w14:textId="77777777" w:rsidR="002117B2" w:rsidRPr="00E50FE7" w:rsidRDefault="002117B2">
            <w:pPr>
              <w:spacing w:after="0"/>
              <w:ind w:left="2" w:right="2"/>
              <w:rPr>
                <w:sz w:val="14"/>
                <w:szCs w:val="14"/>
              </w:rPr>
            </w:pPr>
          </w:p>
        </w:tc>
        <w:tc>
          <w:tcPr>
            <w:tcW w:w="756" w:type="dxa"/>
            <w:tcBorders>
              <w:top w:val="single" w:sz="8" w:space="0" w:color="000000"/>
            </w:tcBorders>
            <w:shd w:val="clear" w:color="auto" w:fill="BDD7EE"/>
            <w:tcMar>
              <w:top w:w="0" w:type="dxa"/>
              <w:left w:w="0" w:type="dxa"/>
              <w:bottom w:w="0" w:type="dxa"/>
              <w:right w:w="0" w:type="dxa"/>
            </w:tcMar>
            <w:vAlign w:val="center"/>
          </w:tcPr>
          <w:p w14:paraId="66D7A9C6" w14:textId="77777777" w:rsidR="002117B2" w:rsidRPr="00E50FE7" w:rsidRDefault="002117B2">
            <w:pPr>
              <w:spacing w:after="0"/>
              <w:ind w:left="2" w:right="2"/>
              <w:rPr>
                <w:sz w:val="14"/>
                <w:szCs w:val="14"/>
              </w:rPr>
            </w:pPr>
          </w:p>
        </w:tc>
        <w:tc>
          <w:tcPr>
            <w:tcW w:w="756" w:type="dxa"/>
            <w:tcBorders>
              <w:top w:val="single" w:sz="8" w:space="0" w:color="000000"/>
            </w:tcBorders>
            <w:shd w:val="clear" w:color="auto" w:fill="BDD7EE"/>
            <w:tcMar>
              <w:top w:w="0" w:type="dxa"/>
              <w:left w:w="0" w:type="dxa"/>
              <w:bottom w:w="0" w:type="dxa"/>
              <w:right w:w="0" w:type="dxa"/>
            </w:tcMar>
            <w:vAlign w:val="center"/>
          </w:tcPr>
          <w:p w14:paraId="7A990285" w14:textId="77777777" w:rsidR="002117B2" w:rsidRPr="00E50FE7" w:rsidRDefault="002117B2">
            <w:pPr>
              <w:spacing w:after="0"/>
              <w:ind w:left="2" w:right="2"/>
              <w:rPr>
                <w:sz w:val="14"/>
                <w:szCs w:val="14"/>
              </w:rPr>
            </w:pPr>
          </w:p>
        </w:tc>
        <w:tc>
          <w:tcPr>
            <w:tcW w:w="756" w:type="dxa"/>
            <w:tcBorders>
              <w:top w:val="single" w:sz="8" w:space="0" w:color="000000"/>
            </w:tcBorders>
            <w:shd w:val="clear" w:color="auto" w:fill="BDD7EE"/>
            <w:tcMar>
              <w:top w:w="0" w:type="dxa"/>
              <w:left w:w="0" w:type="dxa"/>
              <w:bottom w:w="0" w:type="dxa"/>
              <w:right w:w="0" w:type="dxa"/>
            </w:tcMar>
            <w:vAlign w:val="center"/>
          </w:tcPr>
          <w:p w14:paraId="5B02903E" w14:textId="77777777" w:rsidR="002117B2" w:rsidRPr="00E50FE7" w:rsidRDefault="002117B2">
            <w:pPr>
              <w:spacing w:after="0"/>
              <w:ind w:left="2" w:right="2"/>
              <w:rPr>
                <w:sz w:val="14"/>
                <w:szCs w:val="14"/>
              </w:rPr>
            </w:pPr>
          </w:p>
        </w:tc>
        <w:tc>
          <w:tcPr>
            <w:tcW w:w="756" w:type="dxa"/>
            <w:tcBorders>
              <w:top w:val="single" w:sz="8" w:space="0" w:color="000000"/>
            </w:tcBorders>
            <w:shd w:val="clear" w:color="auto" w:fill="BDD7EE"/>
            <w:tcMar>
              <w:top w:w="0" w:type="dxa"/>
              <w:left w:w="0" w:type="dxa"/>
              <w:bottom w:w="0" w:type="dxa"/>
              <w:right w:w="0" w:type="dxa"/>
            </w:tcMar>
            <w:vAlign w:val="center"/>
          </w:tcPr>
          <w:p w14:paraId="0C6471F8" w14:textId="77777777" w:rsidR="002117B2" w:rsidRPr="00E50FE7" w:rsidRDefault="002117B2">
            <w:pPr>
              <w:spacing w:after="0"/>
              <w:ind w:left="2" w:right="2"/>
              <w:rPr>
                <w:sz w:val="14"/>
                <w:szCs w:val="14"/>
              </w:rPr>
            </w:pPr>
          </w:p>
        </w:tc>
        <w:tc>
          <w:tcPr>
            <w:tcW w:w="756" w:type="dxa"/>
            <w:tcBorders>
              <w:top w:val="single" w:sz="8" w:space="0" w:color="000000"/>
            </w:tcBorders>
            <w:shd w:val="clear" w:color="auto" w:fill="BDD7EE"/>
            <w:tcMar>
              <w:top w:w="0" w:type="dxa"/>
              <w:left w:w="0" w:type="dxa"/>
              <w:bottom w:w="0" w:type="dxa"/>
              <w:right w:w="0" w:type="dxa"/>
            </w:tcMar>
            <w:vAlign w:val="center"/>
          </w:tcPr>
          <w:p w14:paraId="0474E999" w14:textId="77777777" w:rsidR="002117B2" w:rsidRPr="00E50FE7" w:rsidRDefault="002117B2">
            <w:pPr>
              <w:spacing w:after="0"/>
              <w:ind w:left="2" w:right="2"/>
              <w:rPr>
                <w:sz w:val="14"/>
                <w:szCs w:val="14"/>
              </w:rPr>
            </w:pPr>
          </w:p>
        </w:tc>
        <w:tc>
          <w:tcPr>
            <w:tcW w:w="756" w:type="dxa"/>
            <w:tcBorders>
              <w:top w:val="single" w:sz="8" w:space="0" w:color="000000"/>
            </w:tcBorders>
            <w:shd w:val="clear" w:color="auto" w:fill="BDD7EE"/>
            <w:tcMar>
              <w:top w:w="0" w:type="dxa"/>
              <w:left w:w="0" w:type="dxa"/>
              <w:bottom w:w="0" w:type="dxa"/>
              <w:right w:w="0" w:type="dxa"/>
            </w:tcMar>
            <w:vAlign w:val="center"/>
          </w:tcPr>
          <w:p w14:paraId="14325665" w14:textId="77777777" w:rsidR="002117B2" w:rsidRPr="00E50FE7" w:rsidRDefault="002117B2">
            <w:pPr>
              <w:spacing w:after="0"/>
              <w:ind w:left="2" w:right="2"/>
              <w:rPr>
                <w:sz w:val="14"/>
                <w:szCs w:val="14"/>
              </w:rPr>
            </w:pPr>
          </w:p>
        </w:tc>
        <w:tc>
          <w:tcPr>
            <w:tcW w:w="1932" w:type="dxa"/>
            <w:tcBorders>
              <w:top w:val="single" w:sz="8" w:space="0" w:color="000000"/>
            </w:tcBorders>
            <w:shd w:val="clear" w:color="auto" w:fill="BDD7EE"/>
            <w:tcMar>
              <w:top w:w="0" w:type="dxa"/>
              <w:left w:w="0" w:type="dxa"/>
              <w:bottom w:w="0" w:type="dxa"/>
              <w:right w:w="0" w:type="dxa"/>
            </w:tcMar>
            <w:vAlign w:val="center"/>
          </w:tcPr>
          <w:p w14:paraId="6A2922ED" w14:textId="77777777" w:rsidR="002117B2" w:rsidRPr="00E50FE7" w:rsidRDefault="002117B2">
            <w:pPr>
              <w:spacing w:after="0"/>
              <w:ind w:left="2" w:right="2"/>
              <w:rPr>
                <w:sz w:val="14"/>
                <w:szCs w:val="14"/>
              </w:rPr>
            </w:pPr>
          </w:p>
        </w:tc>
        <w:tc>
          <w:tcPr>
            <w:tcW w:w="232" w:type="dxa"/>
            <w:tcBorders>
              <w:top w:val="single" w:sz="8" w:space="0" w:color="000000"/>
              <w:right w:val="single" w:sz="8" w:space="0" w:color="000000"/>
            </w:tcBorders>
            <w:shd w:val="clear" w:color="auto" w:fill="BDD7EE"/>
            <w:tcMar>
              <w:top w:w="0" w:type="dxa"/>
              <w:left w:w="0" w:type="dxa"/>
              <w:bottom w:w="0" w:type="dxa"/>
              <w:right w:w="0" w:type="dxa"/>
            </w:tcMar>
            <w:vAlign w:val="center"/>
          </w:tcPr>
          <w:p w14:paraId="472DCDD1" w14:textId="77777777" w:rsidR="002117B2" w:rsidRPr="00E50FE7" w:rsidRDefault="002117B2">
            <w:pPr>
              <w:spacing w:after="0"/>
              <w:ind w:left="2" w:right="2"/>
              <w:rPr>
                <w:sz w:val="14"/>
                <w:szCs w:val="14"/>
              </w:rPr>
            </w:pPr>
          </w:p>
        </w:tc>
      </w:tr>
      <w:tr w:rsidR="002117B2" w14:paraId="78182BC8"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DE6F063"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FA0CE80" w14:textId="77777777" w:rsidR="002117B2" w:rsidRDefault="00616284">
            <w:pPr>
              <w:spacing w:after="0"/>
              <w:ind w:left="2" w:right="2"/>
            </w:pPr>
            <w:r>
              <w:rPr>
                <w:rFonts w:ascii="Calibri" w:eastAsia="Calibri" w:hAnsi="Calibri" w:cs="Calibri"/>
                <w:color w:val="111111"/>
                <w:sz w:val="18"/>
                <w:szCs w:val="18"/>
              </w:rPr>
              <w:t>EMRT ID:</w:t>
            </w:r>
          </w:p>
        </w:tc>
        <w:tc>
          <w:tcPr>
            <w:tcW w:w="646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1EB162" w14:textId="77777777" w:rsidR="002117B2" w:rsidRDefault="00616284">
            <w:pPr>
              <w:spacing w:after="0"/>
              <w:ind w:left="2" w:right="2"/>
            </w:pPr>
            <w:r>
              <w:rPr>
                <w:rFonts w:ascii="Calibri" w:eastAsia="Calibri" w:hAnsi="Calibri" w:cs="Calibri"/>
                <w:color w:val="111111"/>
                <w:sz w:val="18"/>
                <w:szCs w:val="18"/>
              </w:rPr>
              <w:t>LT-2G-2018-0001</w:t>
            </w:r>
          </w:p>
        </w:tc>
        <w:tc>
          <w:tcPr>
            <w:tcW w:w="232" w:type="dxa"/>
            <w:tcBorders>
              <w:right w:val="single" w:sz="8" w:space="0" w:color="000000"/>
            </w:tcBorders>
            <w:shd w:val="clear" w:color="auto" w:fill="BDD7EE"/>
            <w:tcMar>
              <w:top w:w="0" w:type="dxa"/>
              <w:left w:w="0" w:type="dxa"/>
              <w:bottom w:w="0" w:type="dxa"/>
              <w:right w:w="0" w:type="dxa"/>
            </w:tcMar>
            <w:vAlign w:val="center"/>
          </w:tcPr>
          <w:p w14:paraId="5F87CEDF" w14:textId="77777777" w:rsidR="002117B2" w:rsidRDefault="002117B2">
            <w:pPr>
              <w:spacing w:after="0"/>
              <w:ind w:left="2" w:right="2"/>
            </w:pPr>
          </w:p>
        </w:tc>
      </w:tr>
      <w:tr w:rsidR="002117B2" w14:paraId="43D7F9AE"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25491A4"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1640F55" w14:textId="77777777" w:rsidR="002117B2" w:rsidRDefault="00616284">
            <w:pPr>
              <w:spacing w:after="0"/>
              <w:ind w:left="2" w:right="2"/>
            </w:pPr>
            <w:r>
              <w:rPr>
                <w:rFonts w:ascii="Calibri" w:eastAsia="Calibri" w:hAnsi="Calibri" w:cs="Calibri"/>
                <w:color w:val="111111"/>
                <w:sz w:val="18"/>
                <w:szCs w:val="18"/>
              </w:rPr>
              <w:t>EMRT URL:</w:t>
            </w:r>
          </w:p>
        </w:tc>
        <w:tc>
          <w:tcPr>
            <w:tcW w:w="646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ACDFAF" w14:textId="77777777" w:rsidR="002117B2" w:rsidRDefault="00616284">
            <w:pPr>
              <w:spacing w:after="0"/>
              <w:ind w:left="2" w:right="2"/>
            </w:pPr>
            <w:r>
              <w:rPr>
                <w:rFonts w:ascii="Calibri" w:eastAsia="Calibri" w:hAnsi="Calibri" w:cs="Calibri"/>
                <w:color w:val="111111"/>
                <w:sz w:val="18"/>
                <w:szCs w:val="18"/>
              </w:rPr>
              <w:t>https://emrt-necd.eionet.europa.eu/2020/LT-2G-2018-0001</w:t>
            </w:r>
          </w:p>
        </w:tc>
        <w:tc>
          <w:tcPr>
            <w:tcW w:w="232" w:type="dxa"/>
            <w:tcBorders>
              <w:right w:val="single" w:sz="8" w:space="0" w:color="000000"/>
            </w:tcBorders>
            <w:shd w:val="clear" w:color="auto" w:fill="BDD7EE"/>
            <w:tcMar>
              <w:top w:w="0" w:type="dxa"/>
              <w:left w:w="0" w:type="dxa"/>
              <w:bottom w:w="0" w:type="dxa"/>
              <w:right w:w="0" w:type="dxa"/>
            </w:tcMar>
            <w:vAlign w:val="center"/>
          </w:tcPr>
          <w:p w14:paraId="710E1211" w14:textId="77777777" w:rsidR="002117B2" w:rsidRDefault="002117B2">
            <w:pPr>
              <w:spacing w:after="0"/>
              <w:ind w:left="2" w:right="2"/>
            </w:pPr>
          </w:p>
        </w:tc>
      </w:tr>
      <w:tr w:rsidR="002117B2" w14:paraId="62C7CFA3"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F926A71"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F0A4FE9" w14:textId="77777777" w:rsidR="002117B2" w:rsidRDefault="00616284">
            <w:pPr>
              <w:spacing w:after="0"/>
              <w:ind w:left="2" w:right="2"/>
            </w:pPr>
            <w:r>
              <w:rPr>
                <w:rFonts w:ascii="Calibri" w:eastAsia="Calibri" w:hAnsi="Calibri" w:cs="Calibri"/>
                <w:color w:val="111111"/>
                <w:sz w:val="18"/>
                <w:szCs w:val="18"/>
              </w:rPr>
              <w:t>Member State:</w:t>
            </w:r>
          </w:p>
        </w:tc>
        <w:tc>
          <w:tcPr>
            <w:tcW w:w="646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A875D7" w14:textId="77777777" w:rsidR="002117B2" w:rsidRDefault="00616284">
            <w:pPr>
              <w:spacing w:after="0"/>
              <w:ind w:left="2" w:right="2"/>
            </w:pPr>
            <w:r>
              <w:rPr>
                <w:rFonts w:ascii="Calibri" w:eastAsia="Calibri" w:hAnsi="Calibri" w:cs="Calibri"/>
                <w:color w:val="111111"/>
                <w:sz w:val="18"/>
                <w:szCs w:val="18"/>
              </w:rPr>
              <w:t>Lithuania</w:t>
            </w:r>
          </w:p>
        </w:tc>
        <w:tc>
          <w:tcPr>
            <w:tcW w:w="232" w:type="dxa"/>
            <w:tcBorders>
              <w:right w:val="single" w:sz="8" w:space="0" w:color="000000"/>
            </w:tcBorders>
            <w:shd w:val="clear" w:color="auto" w:fill="BDD7EE"/>
            <w:tcMar>
              <w:top w:w="0" w:type="dxa"/>
              <w:left w:w="0" w:type="dxa"/>
              <w:bottom w:w="0" w:type="dxa"/>
              <w:right w:w="0" w:type="dxa"/>
            </w:tcMar>
            <w:vAlign w:val="center"/>
          </w:tcPr>
          <w:p w14:paraId="1EBD6491" w14:textId="77777777" w:rsidR="002117B2" w:rsidRDefault="002117B2">
            <w:pPr>
              <w:spacing w:after="0"/>
              <w:ind w:left="2" w:right="2"/>
            </w:pPr>
          </w:p>
        </w:tc>
      </w:tr>
      <w:tr w:rsidR="002117B2" w14:paraId="48486258"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6758C90"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69E3CD1" w14:textId="77777777" w:rsidR="002117B2" w:rsidRDefault="00616284">
            <w:pPr>
              <w:spacing w:after="0"/>
              <w:ind w:left="2" w:right="2"/>
            </w:pPr>
            <w:r>
              <w:rPr>
                <w:rFonts w:ascii="Calibri" w:eastAsia="Calibri" w:hAnsi="Calibri" w:cs="Calibri"/>
                <w:color w:val="111111"/>
                <w:sz w:val="18"/>
                <w:szCs w:val="18"/>
              </w:rPr>
              <w:t>Sector:</w:t>
            </w:r>
          </w:p>
        </w:tc>
        <w:tc>
          <w:tcPr>
            <w:tcW w:w="646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8FE2DB" w14:textId="1442DB99" w:rsidR="002117B2" w:rsidRDefault="00616284">
            <w:pPr>
              <w:spacing w:after="0"/>
              <w:ind w:left="2" w:right="2"/>
            </w:pPr>
            <w:r>
              <w:rPr>
                <w:rFonts w:ascii="Calibri" w:eastAsia="Calibri" w:hAnsi="Calibri" w:cs="Calibri"/>
                <w:color w:val="111111"/>
                <w:sz w:val="18"/>
                <w:szCs w:val="18"/>
              </w:rPr>
              <w:t xml:space="preserve">2G Other </w:t>
            </w:r>
            <w:r w:rsidR="00CD02E8">
              <w:rPr>
                <w:rFonts w:ascii="Calibri" w:eastAsia="Calibri" w:hAnsi="Calibri" w:cs="Calibri"/>
                <w:color w:val="111111"/>
                <w:sz w:val="18"/>
                <w:szCs w:val="18"/>
              </w:rPr>
              <w:t xml:space="preserve">Product Use </w:t>
            </w:r>
            <w:r>
              <w:rPr>
                <w:rFonts w:ascii="Calibri" w:eastAsia="Calibri" w:hAnsi="Calibri" w:cs="Calibri"/>
                <w:color w:val="111111"/>
                <w:sz w:val="18"/>
                <w:szCs w:val="18"/>
              </w:rPr>
              <w:t>(please specify in the IIR)</w:t>
            </w:r>
          </w:p>
        </w:tc>
        <w:tc>
          <w:tcPr>
            <w:tcW w:w="232" w:type="dxa"/>
            <w:tcBorders>
              <w:right w:val="single" w:sz="8" w:space="0" w:color="000000"/>
            </w:tcBorders>
            <w:shd w:val="clear" w:color="auto" w:fill="BDD7EE"/>
            <w:tcMar>
              <w:top w:w="0" w:type="dxa"/>
              <w:left w:w="0" w:type="dxa"/>
              <w:bottom w:w="0" w:type="dxa"/>
              <w:right w:w="0" w:type="dxa"/>
            </w:tcMar>
            <w:vAlign w:val="center"/>
          </w:tcPr>
          <w:p w14:paraId="4DFEEFF5" w14:textId="77777777" w:rsidR="002117B2" w:rsidRDefault="002117B2">
            <w:pPr>
              <w:spacing w:after="0"/>
              <w:ind w:left="2" w:right="2"/>
            </w:pPr>
          </w:p>
        </w:tc>
      </w:tr>
      <w:tr w:rsidR="002117B2" w14:paraId="7E85C9EA"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BF1A9BB"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10923A8" w14:textId="77777777" w:rsidR="002117B2" w:rsidRDefault="00616284">
            <w:pPr>
              <w:spacing w:after="0"/>
              <w:ind w:left="2" w:right="2"/>
            </w:pPr>
            <w:r>
              <w:rPr>
                <w:rFonts w:ascii="Calibri" w:eastAsia="Calibri" w:hAnsi="Calibri" w:cs="Calibri"/>
                <w:color w:val="111111"/>
                <w:sz w:val="18"/>
                <w:szCs w:val="18"/>
              </w:rPr>
              <w:t>Pollutants:</w:t>
            </w:r>
          </w:p>
        </w:tc>
        <w:tc>
          <w:tcPr>
            <w:tcW w:w="646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A9AAC3" w14:textId="77777777" w:rsidR="002117B2" w:rsidRDefault="00616284">
            <w:pPr>
              <w:spacing w:after="0"/>
              <w:ind w:left="2" w:right="2"/>
            </w:pPr>
            <w:r>
              <w:rPr>
                <w:rFonts w:ascii="Calibri" w:eastAsia="Calibri" w:hAnsi="Calibri" w:cs="Calibri"/>
                <w:color w:val="111111"/>
                <w:sz w:val="18"/>
                <w:szCs w:val="18"/>
              </w:rPr>
              <w:t>Pb</w:t>
            </w:r>
          </w:p>
        </w:tc>
        <w:tc>
          <w:tcPr>
            <w:tcW w:w="232" w:type="dxa"/>
            <w:tcBorders>
              <w:right w:val="single" w:sz="8" w:space="0" w:color="000000"/>
            </w:tcBorders>
            <w:shd w:val="clear" w:color="auto" w:fill="BDD7EE"/>
            <w:tcMar>
              <w:top w:w="0" w:type="dxa"/>
              <w:left w:w="0" w:type="dxa"/>
              <w:bottom w:w="0" w:type="dxa"/>
              <w:right w:w="0" w:type="dxa"/>
            </w:tcMar>
            <w:vAlign w:val="center"/>
          </w:tcPr>
          <w:p w14:paraId="6608E6A9" w14:textId="77777777" w:rsidR="002117B2" w:rsidRDefault="002117B2">
            <w:pPr>
              <w:spacing w:after="0"/>
              <w:ind w:left="2" w:right="2"/>
            </w:pPr>
          </w:p>
        </w:tc>
      </w:tr>
      <w:tr w:rsidR="002117B2" w14:paraId="169C9FAA"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DA0251E"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3BCEDB4" w14:textId="77777777" w:rsidR="002117B2" w:rsidRDefault="00616284">
            <w:pPr>
              <w:spacing w:after="0"/>
              <w:ind w:left="2" w:right="2"/>
            </w:pPr>
            <w:r>
              <w:rPr>
                <w:rFonts w:ascii="Calibri" w:eastAsia="Calibri" w:hAnsi="Calibri" w:cs="Calibri"/>
                <w:color w:val="111111"/>
                <w:sz w:val="18"/>
                <w:szCs w:val="18"/>
              </w:rPr>
              <w:t>Completed by (SE):</w:t>
            </w:r>
          </w:p>
        </w:tc>
        <w:tc>
          <w:tcPr>
            <w:tcW w:w="646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F7EB54" w14:textId="77777777" w:rsidR="002117B2" w:rsidRDefault="00616284">
            <w:pPr>
              <w:spacing w:after="0"/>
              <w:ind w:left="2" w:right="2"/>
            </w:pPr>
            <w:r>
              <w:rPr>
                <w:rFonts w:ascii="Calibri" w:eastAsia="Calibri" w:hAnsi="Calibri" w:cs="Calibri"/>
                <w:color w:val="111111"/>
                <w:sz w:val="18"/>
                <w:szCs w:val="18"/>
              </w:rPr>
              <w:t>Coralie Jeannot</w:t>
            </w:r>
          </w:p>
        </w:tc>
        <w:tc>
          <w:tcPr>
            <w:tcW w:w="232" w:type="dxa"/>
            <w:tcBorders>
              <w:right w:val="single" w:sz="8" w:space="0" w:color="000000"/>
            </w:tcBorders>
            <w:shd w:val="clear" w:color="auto" w:fill="BDD7EE"/>
            <w:tcMar>
              <w:top w:w="0" w:type="dxa"/>
              <w:left w:w="0" w:type="dxa"/>
              <w:bottom w:w="0" w:type="dxa"/>
              <w:right w:w="0" w:type="dxa"/>
            </w:tcMar>
            <w:vAlign w:val="center"/>
          </w:tcPr>
          <w:p w14:paraId="4F0BE6A8" w14:textId="77777777" w:rsidR="002117B2" w:rsidRDefault="002117B2">
            <w:pPr>
              <w:spacing w:after="0"/>
              <w:ind w:left="2" w:right="2"/>
            </w:pPr>
          </w:p>
        </w:tc>
      </w:tr>
      <w:tr w:rsidR="002117B2" w14:paraId="51BD2DFB"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1A5EE10"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5AAA339" w14:textId="77777777" w:rsidR="002117B2" w:rsidRDefault="00616284">
            <w:pPr>
              <w:spacing w:after="0"/>
              <w:ind w:left="2" w:right="2"/>
            </w:pPr>
            <w:r>
              <w:rPr>
                <w:rFonts w:ascii="Calibri" w:eastAsia="Calibri" w:hAnsi="Calibri" w:cs="Calibri"/>
                <w:color w:val="111111"/>
                <w:sz w:val="18"/>
                <w:szCs w:val="18"/>
              </w:rPr>
              <w:t>Reviewed by (LR):</w:t>
            </w:r>
          </w:p>
        </w:tc>
        <w:tc>
          <w:tcPr>
            <w:tcW w:w="646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447928" w14:textId="77777777" w:rsidR="002117B2" w:rsidRDefault="00616284">
            <w:pPr>
              <w:spacing w:after="0"/>
              <w:ind w:left="2" w:right="2"/>
            </w:pPr>
            <w:r>
              <w:rPr>
                <w:rFonts w:ascii="Calibri" w:eastAsia="Calibri" w:hAnsi="Calibri" w:cs="Calibri"/>
                <w:color w:val="111111"/>
                <w:sz w:val="18"/>
                <w:szCs w:val="18"/>
              </w:rPr>
              <w:t>Justin Goodwin</w:t>
            </w:r>
          </w:p>
        </w:tc>
        <w:tc>
          <w:tcPr>
            <w:tcW w:w="232" w:type="dxa"/>
            <w:tcBorders>
              <w:right w:val="single" w:sz="8" w:space="0" w:color="000000"/>
            </w:tcBorders>
            <w:shd w:val="clear" w:color="auto" w:fill="BDD7EE"/>
            <w:tcMar>
              <w:top w:w="0" w:type="dxa"/>
              <w:left w:w="0" w:type="dxa"/>
              <w:bottom w:w="0" w:type="dxa"/>
              <w:right w:w="0" w:type="dxa"/>
            </w:tcMar>
            <w:vAlign w:val="center"/>
          </w:tcPr>
          <w:p w14:paraId="43E8B6E4" w14:textId="77777777" w:rsidR="002117B2" w:rsidRDefault="002117B2">
            <w:pPr>
              <w:spacing w:after="0"/>
              <w:ind w:left="2" w:right="2"/>
            </w:pPr>
          </w:p>
        </w:tc>
      </w:tr>
      <w:tr w:rsidR="002117B2" w14:paraId="1E761830"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199D843"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60A79A0" w14:textId="77777777" w:rsidR="002117B2" w:rsidRDefault="00616284">
            <w:pPr>
              <w:spacing w:after="0"/>
              <w:ind w:left="2" w:right="2"/>
            </w:pPr>
            <w:r>
              <w:rPr>
                <w:rFonts w:ascii="Calibri" w:eastAsia="Calibri" w:hAnsi="Calibri" w:cs="Calibri"/>
                <w:color w:val="111111"/>
                <w:sz w:val="18"/>
                <w:szCs w:val="18"/>
              </w:rPr>
              <w:t>Reviewed by (Counterpart):</w:t>
            </w:r>
          </w:p>
        </w:tc>
        <w:tc>
          <w:tcPr>
            <w:tcW w:w="646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E8CF8F"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106F7206" w14:textId="77777777" w:rsidR="002117B2" w:rsidRDefault="002117B2">
            <w:pPr>
              <w:spacing w:after="0"/>
              <w:ind w:left="2" w:right="2"/>
            </w:pPr>
          </w:p>
        </w:tc>
      </w:tr>
      <w:tr w:rsidR="002117B2" w14:paraId="5CF613A4"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38AB245"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AE5C9D2" w14:textId="77777777" w:rsidR="002117B2" w:rsidRDefault="00616284">
            <w:pPr>
              <w:spacing w:after="0"/>
              <w:ind w:left="2" w:right="2"/>
            </w:pPr>
            <w:r>
              <w:rPr>
                <w:rFonts w:ascii="Calibri" w:eastAsia="Calibri" w:hAnsi="Calibri" w:cs="Calibri"/>
                <w:color w:val="111111"/>
                <w:sz w:val="18"/>
                <w:szCs w:val="18"/>
              </w:rPr>
              <w:t>Reviewed by (Quality Controller):</w:t>
            </w:r>
          </w:p>
        </w:tc>
        <w:tc>
          <w:tcPr>
            <w:tcW w:w="646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7C6571" w14:textId="77777777" w:rsidR="002117B2" w:rsidRDefault="00616284">
            <w:pPr>
              <w:spacing w:after="0"/>
              <w:ind w:left="2" w:right="2"/>
            </w:pPr>
            <w:r>
              <w:rPr>
                <w:rFonts w:ascii="Calibri" w:eastAsia="Calibri" w:hAnsi="Calibri" w:cs="Calibri"/>
                <w:color w:val="111111"/>
                <w:sz w:val="18"/>
                <w:szCs w:val="18"/>
              </w:rPr>
              <w:t>Chris Dore</w:t>
            </w:r>
          </w:p>
        </w:tc>
        <w:tc>
          <w:tcPr>
            <w:tcW w:w="232" w:type="dxa"/>
            <w:tcBorders>
              <w:right w:val="single" w:sz="8" w:space="0" w:color="000000"/>
            </w:tcBorders>
            <w:shd w:val="clear" w:color="auto" w:fill="BDD7EE"/>
            <w:tcMar>
              <w:top w:w="0" w:type="dxa"/>
              <w:left w:w="0" w:type="dxa"/>
              <w:bottom w:w="0" w:type="dxa"/>
              <w:right w:w="0" w:type="dxa"/>
            </w:tcMar>
            <w:vAlign w:val="center"/>
          </w:tcPr>
          <w:p w14:paraId="1B4C661C" w14:textId="77777777" w:rsidR="002117B2" w:rsidRDefault="002117B2">
            <w:pPr>
              <w:spacing w:after="0"/>
              <w:ind w:left="2" w:right="2"/>
            </w:pPr>
          </w:p>
        </w:tc>
      </w:tr>
      <w:tr w:rsidR="002117B2" w14:paraId="6AB46BB5"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75C61C1"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5E1F0785"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6770746C"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602F3DC8"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0F6206BD"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3EA93569"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7C72D22F"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5BF65B7F"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1520EBE2"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2B06014A" w14:textId="77777777" w:rsidR="002117B2" w:rsidRPr="00E50FE7" w:rsidRDefault="002117B2">
            <w:pPr>
              <w:spacing w:after="0"/>
              <w:ind w:left="2" w:right="2"/>
              <w:rPr>
                <w:sz w:val="14"/>
                <w:szCs w:val="14"/>
              </w:rPr>
            </w:pPr>
          </w:p>
        </w:tc>
        <w:tc>
          <w:tcPr>
            <w:tcW w:w="1932" w:type="dxa"/>
            <w:shd w:val="clear" w:color="auto" w:fill="BDD7EE"/>
            <w:tcMar>
              <w:top w:w="0" w:type="dxa"/>
              <w:left w:w="0" w:type="dxa"/>
              <w:bottom w:w="0" w:type="dxa"/>
              <w:right w:w="0" w:type="dxa"/>
            </w:tcMar>
            <w:vAlign w:val="center"/>
          </w:tcPr>
          <w:p w14:paraId="206C329A" w14:textId="77777777" w:rsidR="002117B2" w:rsidRPr="00E50FE7" w:rsidRDefault="002117B2">
            <w:pPr>
              <w:spacing w:after="0"/>
              <w:ind w:left="2" w:right="2"/>
              <w:rPr>
                <w:sz w:val="14"/>
                <w:szCs w:val="14"/>
              </w:rPr>
            </w:pPr>
          </w:p>
        </w:tc>
        <w:tc>
          <w:tcPr>
            <w:tcW w:w="232" w:type="dxa"/>
            <w:tcBorders>
              <w:right w:val="single" w:sz="8" w:space="0" w:color="000000"/>
            </w:tcBorders>
            <w:shd w:val="clear" w:color="auto" w:fill="BDD7EE"/>
            <w:tcMar>
              <w:top w:w="0" w:type="dxa"/>
              <w:left w:w="0" w:type="dxa"/>
              <w:bottom w:w="0" w:type="dxa"/>
              <w:right w:w="0" w:type="dxa"/>
            </w:tcMar>
            <w:vAlign w:val="center"/>
          </w:tcPr>
          <w:p w14:paraId="71DDF2B1" w14:textId="77777777" w:rsidR="002117B2" w:rsidRPr="00E50FE7" w:rsidRDefault="002117B2">
            <w:pPr>
              <w:spacing w:after="0"/>
              <w:ind w:left="2" w:right="2"/>
              <w:rPr>
                <w:sz w:val="14"/>
                <w:szCs w:val="14"/>
              </w:rPr>
            </w:pPr>
          </w:p>
        </w:tc>
      </w:tr>
      <w:tr w:rsidR="002117B2" w14:paraId="4EC4F5C9"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694DEE4"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8378607" w14:textId="77777777" w:rsidR="002117B2" w:rsidRDefault="00616284">
            <w:pPr>
              <w:spacing w:after="0"/>
              <w:ind w:left="2" w:right="2"/>
            </w:pPr>
            <w:r>
              <w:rPr>
                <w:rFonts w:ascii="Calibri" w:eastAsia="Calibri" w:hAnsi="Calibri" w:cs="Calibri"/>
                <w:color w:val="111111"/>
                <w:sz w:val="18"/>
                <w:szCs w:val="18"/>
              </w:rPr>
              <w:t>The underlying problem:</w:t>
            </w:r>
          </w:p>
        </w:tc>
        <w:tc>
          <w:tcPr>
            <w:tcW w:w="646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1D9309" w14:textId="77777777" w:rsidR="002117B2" w:rsidRDefault="00616284">
            <w:pPr>
              <w:spacing w:after="0"/>
              <w:ind w:left="2" w:right="2"/>
            </w:pPr>
            <w:r>
              <w:rPr>
                <w:rFonts w:ascii="Calibri" w:eastAsia="Calibri" w:hAnsi="Calibri" w:cs="Calibri"/>
                <w:color w:val="111111"/>
                <w:sz w:val="18"/>
                <w:szCs w:val="18"/>
              </w:rPr>
              <w:t>Lithuania reports Pb emissions from 2G as NA for all years while the EMEP/EEA Guidebook 2016 has an emission factor for the use of fireworks. Last year, the TERT sent a Technical Correction (LT-2G-2019-0001_PTC_POPsHMs.xlsx) which was accepted by Lithuania but not implemented in the latest 2020 inventory submission</w:t>
            </w:r>
          </w:p>
        </w:tc>
        <w:tc>
          <w:tcPr>
            <w:tcW w:w="232" w:type="dxa"/>
            <w:tcBorders>
              <w:right w:val="single" w:sz="8" w:space="0" w:color="000000"/>
            </w:tcBorders>
            <w:shd w:val="clear" w:color="auto" w:fill="BDD7EE"/>
            <w:tcMar>
              <w:top w:w="0" w:type="dxa"/>
              <w:left w:w="0" w:type="dxa"/>
              <w:bottom w:w="0" w:type="dxa"/>
              <w:right w:w="0" w:type="dxa"/>
            </w:tcMar>
            <w:vAlign w:val="center"/>
          </w:tcPr>
          <w:p w14:paraId="1A9E879B" w14:textId="77777777" w:rsidR="002117B2" w:rsidRDefault="002117B2">
            <w:pPr>
              <w:spacing w:after="0"/>
              <w:ind w:left="2" w:right="2"/>
            </w:pPr>
          </w:p>
        </w:tc>
      </w:tr>
      <w:tr w:rsidR="002117B2" w14:paraId="3053D8B9"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5160DDD"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A1EBC10" w14:textId="77777777" w:rsidR="002117B2" w:rsidRDefault="00616284">
            <w:pPr>
              <w:spacing w:after="0"/>
              <w:ind w:left="2" w:right="2"/>
            </w:pPr>
            <w:r>
              <w:rPr>
                <w:rFonts w:ascii="Calibri" w:eastAsia="Calibri" w:hAnsi="Calibri" w:cs="Calibri"/>
                <w:color w:val="111111"/>
                <w:sz w:val="18"/>
                <w:szCs w:val="18"/>
              </w:rPr>
              <w:t>Summarise the methodology used:</w:t>
            </w:r>
          </w:p>
        </w:tc>
        <w:tc>
          <w:tcPr>
            <w:tcW w:w="646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21977E" w14:textId="77777777" w:rsidR="002117B2" w:rsidRDefault="00616284">
            <w:pPr>
              <w:spacing w:after="0"/>
              <w:ind w:left="2" w:right="2"/>
            </w:pPr>
            <w:r>
              <w:rPr>
                <w:rFonts w:ascii="Calibri" w:eastAsia="Calibri" w:hAnsi="Calibri" w:cs="Calibri"/>
                <w:color w:val="111111"/>
                <w:sz w:val="18"/>
                <w:szCs w:val="18"/>
              </w:rPr>
              <w:t>The Pb emissions were estimating the fireworks consumption with a tier 2 emission factor from the EMEP/EEA Guidebook 2016. The activity data in 2000-2017 is based on the fireworks import and export statistics from Eurostat and the activity data in 1990-1999 is extrapolated from the 2000-2017 fireworks consumption. The emission factor is from table 3.13 of chapter 2G of the EMEP/EEA Guidebook.</w:t>
            </w:r>
          </w:p>
        </w:tc>
        <w:tc>
          <w:tcPr>
            <w:tcW w:w="232" w:type="dxa"/>
            <w:tcBorders>
              <w:right w:val="single" w:sz="8" w:space="0" w:color="000000"/>
            </w:tcBorders>
            <w:shd w:val="clear" w:color="auto" w:fill="BDD7EE"/>
            <w:tcMar>
              <w:top w:w="0" w:type="dxa"/>
              <w:left w:w="0" w:type="dxa"/>
              <w:bottom w:w="0" w:type="dxa"/>
              <w:right w:w="0" w:type="dxa"/>
            </w:tcMar>
            <w:vAlign w:val="center"/>
          </w:tcPr>
          <w:p w14:paraId="7BBD82E7" w14:textId="77777777" w:rsidR="002117B2" w:rsidRDefault="002117B2">
            <w:pPr>
              <w:spacing w:after="0"/>
              <w:ind w:left="2" w:right="2"/>
            </w:pPr>
          </w:p>
        </w:tc>
      </w:tr>
      <w:tr w:rsidR="002117B2" w14:paraId="484A7F55"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BADEDFA" w14:textId="77777777" w:rsidR="002117B2" w:rsidRDefault="002117B2">
            <w:pPr>
              <w:spacing w:after="0"/>
              <w:ind w:left="2" w:right="2"/>
              <w:jc w:val="center"/>
            </w:pPr>
          </w:p>
        </w:tc>
        <w:tc>
          <w:tcPr>
            <w:tcW w:w="1008" w:type="dxa"/>
            <w:tcBorders>
              <w:bottom w:val="single" w:sz="8" w:space="0" w:color="000000"/>
            </w:tcBorders>
            <w:shd w:val="clear" w:color="auto" w:fill="BDD7EE"/>
            <w:tcMar>
              <w:top w:w="0" w:type="dxa"/>
              <w:left w:w="0" w:type="dxa"/>
              <w:bottom w:w="0" w:type="dxa"/>
              <w:right w:w="0" w:type="dxa"/>
            </w:tcMar>
            <w:vAlign w:val="center"/>
          </w:tcPr>
          <w:p w14:paraId="7A8F4F35"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66DE97B7"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046F443D"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3B999C32"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0F0A014F"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0DE0F0B2"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097E8A99"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5697D052"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191FB13C" w14:textId="77777777" w:rsidR="002117B2" w:rsidRPr="00E50FE7" w:rsidRDefault="002117B2">
            <w:pPr>
              <w:spacing w:after="0"/>
              <w:ind w:left="2" w:right="2"/>
              <w:rPr>
                <w:sz w:val="14"/>
                <w:szCs w:val="14"/>
              </w:rPr>
            </w:pPr>
          </w:p>
        </w:tc>
        <w:tc>
          <w:tcPr>
            <w:tcW w:w="1932" w:type="dxa"/>
            <w:tcBorders>
              <w:bottom w:val="single" w:sz="8" w:space="0" w:color="000000"/>
            </w:tcBorders>
            <w:shd w:val="clear" w:color="auto" w:fill="BDD7EE"/>
            <w:tcMar>
              <w:top w:w="0" w:type="dxa"/>
              <w:left w:w="0" w:type="dxa"/>
              <w:bottom w:w="0" w:type="dxa"/>
              <w:right w:w="0" w:type="dxa"/>
            </w:tcMar>
            <w:vAlign w:val="center"/>
          </w:tcPr>
          <w:p w14:paraId="6FDEFD4C" w14:textId="77777777" w:rsidR="002117B2" w:rsidRPr="00E50FE7" w:rsidRDefault="002117B2">
            <w:pPr>
              <w:spacing w:after="0"/>
              <w:ind w:left="2" w:right="2"/>
              <w:rPr>
                <w:sz w:val="14"/>
                <w:szCs w:val="14"/>
              </w:rPr>
            </w:pPr>
          </w:p>
        </w:tc>
        <w:tc>
          <w:tcPr>
            <w:tcW w:w="232"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58A836C8" w14:textId="77777777" w:rsidR="002117B2" w:rsidRPr="00E50FE7" w:rsidRDefault="002117B2">
            <w:pPr>
              <w:spacing w:after="0"/>
              <w:ind w:left="2" w:right="2"/>
              <w:rPr>
                <w:sz w:val="14"/>
                <w:szCs w:val="14"/>
              </w:rPr>
            </w:pPr>
          </w:p>
        </w:tc>
      </w:tr>
      <w:tr w:rsidR="002117B2" w14:paraId="2137AE4E" w14:textId="77777777" w:rsidTr="00E50FE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D03B033" w14:textId="77777777" w:rsidR="002117B2" w:rsidRDefault="00616284">
            <w:pPr>
              <w:spacing w:after="0"/>
              <w:ind w:left="2" w:right="2"/>
              <w:jc w:val="center"/>
            </w:pPr>
            <w:r>
              <w:rPr>
                <w:rFonts w:ascii="Calibri" w:eastAsia="Calibri" w:hAnsi="Calibri" w:cs="Calibri"/>
                <w:b/>
                <w:color w:val="FFFFFF"/>
                <w:sz w:val="18"/>
                <w:szCs w:val="18"/>
              </w:rPr>
              <w:t>2</w:t>
            </w:r>
          </w:p>
        </w:tc>
        <w:tc>
          <w:tcPr>
            <w:tcW w:w="9220" w:type="dxa"/>
            <w:gridSpan w:val="11"/>
            <w:tcBorders>
              <w:top w:val="single" w:sz="8" w:space="0" w:color="000000"/>
            </w:tcBorders>
            <w:shd w:val="clear" w:color="auto" w:fill="BDD7EE"/>
            <w:tcMar>
              <w:top w:w="0" w:type="dxa"/>
              <w:left w:w="0" w:type="dxa"/>
              <w:bottom w:w="0" w:type="dxa"/>
              <w:right w:w="0" w:type="dxa"/>
            </w:tcMar>
            <w:vAlign w:val="center"/>
          </w:tcPr>
          <w:p w14:paraId="418B89F1" w14:textId="77777777" w:rsidR="002117B2" w:rsidRDefault="00616284">
            <w:pPr>
              <w:spacing w:after="0"/>
              <w:ind w:left="2" w:right="2"/>
            </w:pPr>
            <w:r>
              <w:rPr>
                <w:rFonts w:ascii="Calibri" w:eastAsia="Calibri" w:hAnsi="Calibri" w:cs="Calibri"/>
                <w:b/>
                <w:color w:val="111111"/>
                <w:sz w:val="18"/>
                <w:szCs w:val="18"/>
              </w:rPr>
              <w:t>Details of the corrected estimate</w:t>
            </w:r>
          </w:p>
        </w:tc>
      </w:tr>
      <w:tr w:rsidR="002117B2" w14:paraId="6358E140"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026B250"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179387F3"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1D32383" w14:textId="77777777" w:rsidR="002117B2" w:rsidRDefault="00616284">
            <w:pPr>
              <w:spacing w:after="0"/>
              <w:ind w:left="2" w:right="2"/>
              <w:jc w:val="center"/>
            </w:pPr>
            <w:r>
              <w:rPr>
                <w:rFonts w:ascii="Calibri" w:eastAsia="Calibri" w:hAnsi="Calibri" w:cs="Calibri"/>
                <w:b/>
                <w:color w:val="111111"/>
                <w:sz w:val="18"/>
                <w:szCs w:val="18"/>
              </w:rPr>
              <w:t>Original Estimate</w:t>
            </w:r>
          </w:p>
        </w:tc>
        <w:tc>
          <w:tcPr>
            <w:tcW w:w="193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C060ED6" w14:textId="77777777" w:rsidR="002117B2" w:rsidRDefault="00616284">
            <w:pPr>
              <w:spacing w:after="0"/>
              <w:ind w:left="2" w:right="2"/>
              <w:jc w:val="center"/>
            </w:pPr>
            <w:r>
              <w:rPr>
                <w:rFonts w:ascii="Calibri" w:eastAsia="Calibri" w:hAnsi="Calibri" w:cs="Calibri"/>
                <w:b/>
                <w:color w:val="111111"/>
                <w:sz w:val="18"/>
                <w:szCs w:val="18"/>
              </w:rPr>
              <w:t>Notes</w:t>
            </w:r>
          </w:p>
        </w:tc>
        <w:tc>
          <w:tcPr>
            <w:tcW w:w="232" w:type="dxa"/>
            <w:tcBorders>
              <w:right w:val="single" w:sz="8" w:space="0" w:color="000000"/>
            </w:tcBorders>
            <w:shd w:val="clear" w:color="auto" w:fill="BDD7EE"/>
            <w:tcMar>
              <w:top w:w="0" w:type="dxa"/>
              <w:left w:w="0" w:type="dxa"/>
              <w:bottom w:w="0" w:type="dxa"/>
              <w:right w:w="0" w:type="dxa"/>
            </w:tcMar>
            <w:vAlign w:val="center"/>
          </w:tcPr>
          <w:p w14:paraId="3F741510" w14:textId="77777777" w:rsidR="002117B2" w:rsidRDefault="002117B2">
            <w:pPr>
              <w:spacing w:after="0"/>
              <w:ind w:left="2" w:right="2"/>
              <w:jc w:val="center"/>
            </w:pPr>
          </w:p>
        </w:tc>
      </w:tr>
      <w:tr w:rsidR="002117B2" w14:paraId="6BC1E0E4"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3C6374E"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6448A1F"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E73987C"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3ADA2FD"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752AADC"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971A9CA"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88B8B90"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C7603B4"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678FBE9"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A650CA8" w14:textId="77777777" w:rsidR="002117B2" w:rsidRDefault="00616284">
            <w:pPr>
              <w:spacing w:after="0"/>
              <w:ind w:left="2" w:right="2"/>
              <w:jc w:val="center"/>
            </w:pPr>
            <w:r>
              <w:rPr>
                <w:rFonts w:ascii="Calibri" w:eastAsia="Calibri" w:hAnsi="Calibri" w:cs="Calibri"/>
                <w:color w:val="111111"/>
                <w:sz w:val="18"/>
                <w:szCs w:val="18"/>
              </w:rPr>
              <w:t>PCBs (kg)</w:t>
            </w:r>
          </w:p>
        </w:tc>
        <w:tc>
          <w:tcPr>
            <w:tcW w:w="193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1A38245" w14:textId="77777777" w:rsidR="002117B2" w:rsidRDefault="002117B2">
            <w:pPr>
              <w:spacing w:after="0"/>
              <w:ind w:left="2" w:right="2"/>
              <w:jc w:val="center"/>
            </w:pPr>
          </w:p>
        </w:tc>
        <w:tc>
          <w:tcPr>
            <w:tcW w:w="232" w:type="dxa"/>
            <w:tcBorders>
              <w:right w:val="single" w:sz="8" w:space="0" w:color="000000"/>
            </w:tcBorders>
            <w:shd w:val="clear" w:color="auto" w:fill="BDD7EE"/>
            <w:tcMar>
              <w:top w:w="0" w:type="dxa"/>
              <w:left w:w="0" w:type="dxa"/>
              <w:bottom w:w="0" w:type="dxa"/>
              <w:right w:w="0" w:type="dxa"/>
            </w:tcMar>
            <w:vAlign w:val="center"/>
          </w:tcPr>
          <w:p w14:paraId="48C940A5" w14:textId="77777777" w:rsidR="002117B2" w:rsidRDefault="002117B2">
            <w:pPr>
              <w:spacing w:after="0"/>
              <w:ind w:left="2" w:right="2"/>
              <w:jc w:val="center"/>
            </w:pPr>
          </w:p>
        </w:tc>
      </w:tr>
      <w:tr w:rsidR="002117B2" w14:paraId="2F3F4217"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7DD7AB3"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6B8DFD8"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7051DD" w14:textId="77777777" w:rsidR="002117B2" w:rsidRDefault="00616284">
            <w:pPr>
              <w:spacing w:after="0"/>
              <w:ind w:left="2" w:right="2"/>
            </w:pPr>
            <w:r>
              <w:rPr>
                <w:rFonts w:ascii="Calibri" w:eastAsia="Calibri" w:hAnsi="Calibri" w:cs="Calibri"/>
                <w:color w:val="111111"/>
                <w:sz w:val="18"/>
                <w:szCs w:val="18"/>
              </w:rPr>
              <w:t>NA</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01507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77F1F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8B692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4EBD4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BF8BF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69F17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60BDBE"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5BEA41"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29369D5A" w14:textId="77777777" w:rsidR="002117B2" w:rsidRDefault="002117B2">
            <w:pPr>
              <w:spacing w:after="0"/>
              <w:ind w:left="2" w:right="2"/>
            </w:pPr>
          </w:p>
        </w:tc>
      </w:tr>
      <w:tr w:rsidR="002117B2" w14:paraId="6D2F53C0"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8D72F45"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23D2568"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D10196" w14:textId="77777777" w:rsidR="002117B2" w:rsidRDefault="00616284">
            <w:pPr>
              <w:spacing w:after="0"/>
              <w:ind w:left="2" w:right="2"/>
            </w:pPr>
            <w:r>
              <w:rPr>
                <w:rFonts w:ascii="Calibri" w:eastAsia="Calibri" w:hAnsi="Calibri" w:cs="Calibri"/>
                <w:color w:val="111111"/>
                <w:sz w:val="18"/>
                <w:szCs w:val="18"/>
              </w:rPr>
              <w:t>NA</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36CC8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514C9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F4AFE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0DD3D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85AB0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FF6BB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D4E19D"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E02778"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2656DB7F" w14:textId="77777777" w:rsidR="002117B2" w:rsidRDefault="002117B2">
            <w:pPr>
              <w:spacing w:after="0"/>
              <w:ind w:left="2" w:right="2"/>
            </w:pPr>
          </w:p>
        </w:tc>
      </w:tr>
      <w:tr w:rsidR="002117B2" w14:paraId="4E0E1471"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BACEAEE"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3BD81CE"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299167" w14:textId="77777777" w:rsidR="002117B2" w:rsidRDefault="00616284">
            <w:pPr>
              <w:spacing w:after="0"/>
              <w:ind w:left="2" w:right="2"/>
            </w:pPr>
            <w:r>
              <w:rPr>
                <w:rFonts w:ascii="Calibri" w:eastAsia="Calibri" w:hAnsi="Calibri" w:cs="Calibri"/>
                <w:color w:val="111111"/>
                <w:sz w:val="18"/>
                <w:szCs w:val="18"/>
              </w:rPr>
              <w:t>NA</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BC06E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6136F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85746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D027E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97AC8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C16D5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8C56FB"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F1B3C1"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24899B0D" w14:textId="77777777" w:rsidR="002117B2" w:rsidRDefault="002117B2">
            <w:pPr>
              <w:spacing w:after="0"/>
              <w:ind w:left="2" w:right="2"/>
            </w:pPr>
          </w:p>
        </w:tc>
      </w:tr>
      <w:tr w:rsidR="002117B2" w14:paraId="3EB6383B"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D332146"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D903552"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5A8227" w14:textId="77777777" w:rsidR="002117B2" w:rsidRDefault="00616284">
            <w:pPr>
              <w:spacing w:after="0"/>
              <w:ind w:left="2" w:right="2"/>
            </w:pPr>
            <w:r>
              <w:rPr>
                <w:rFonts w:ascii="Calibri" w:eastAsia="Calibri" w:hAnsi="Calibri" w:cs="Calibri"/>
                <w:color w:val="111111"/>
                <w:sz w:val="18"/>
                <w:szCs w:val="18"/>
              </w:rPr>
              <w:t>NA</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3FD34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99451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FBD48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1504B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632A8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64ABB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1D0179"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CE3EF2"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1351A867" w14:textId="77777777" w:rsidR="002117B2" w:rsidRDefault="002117B2">
            <w:pPr>
              <w:spacing w:after="0"/>
              <w:ind w:left="2" w:right="2"/>
            </w:pPr>
          </w:p>
        </w:tc>
      </w:tr>
      <w:tr w:rsidR="002117B2" w14:paraId="5C4AD83D"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F980DD7"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757EC37"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0DBE3E" w14:textId="77777777" w:rsidR="002117B2" w:rsidRDefault="00616284">
            <w:pPr>
              <w:spacing w:after="0"/>
              <w:ind w:left="2" w:right="2"/>
            </w:pPr>
            <w:r>
              <w:rPr>
                <w:rFonts w:ascii="Calibri" w:eastAsia="Calibri" w:hAnsi="Calibri" w:cs="Calibri"/>
                <w:color w:val="111111"/>
                <w:sz w:val="18"/>
                <w:szCs w:val="18"/>
              </w:rPr>
              <w:t>NA</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48163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88C63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2A344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257C5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1FCD9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1E748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69C0F4"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1C1CEA"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258E39C4" w14:textId="77777777" w:rsidR="002117B2" w:rsidRDefault="002117B2">
            <w:pPr>
              <w:spacing w:after="0"/>
              <w:ind w:left="2" w:right="2"/>
            </w:pPr>
          </w:p>
        </w:tc>
      </w:tr>
      <w:tr w:rsidR="002117B2" w14:paraId="44ECF1A3"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E56734D"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15923455"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24EE4ED0"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6552424C"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1FC65B6B"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17ADCA60"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013988B0"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173D8A2D"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2EEAA9B4"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7B7D3D0F" w14:textId="77777777" w:rsidR="002117B2" w:rsidRPr="00E50FE7" w:rsidRDefault="002117B2">
            <w:pPr>
              <w:spacing w:after="0"/>
              <w:ind w:left="2" w:right="2"/>
              <w:rPr>
                <w:sz w:val="14"/>
                <w:szCs w:val="14"/>
              </w:rPr>
            </w:pPr>
          </w:p>
        </w:tc>
        <w:tc>
          <w:tcPr>
            <w:tcW w:w="1932" w:type="dxa"/>
            <w:shd w:val="clear" w:color="auto" w:fill="BDD7EE"/>
            <w:tcMar>
              <w:top w:w="0" w:type="dxa"/>
              <w:left w:w="0" w:type="dxa"/>
              <w:bottom w:w="0" w:type="dxa"/>
              <w:right w:w="0" w:type="dxa"/>
            </w:tcMar>
            <w:vAlign w:val="center"/>
          </w:tcPr>
          <w:p w14:paraId="0E9C68C4" w14:textId="77777777" w:rsidR="002117B2" w:rsidRPr="00E50FE7" w:rsidRDefault="002117B2">
            <w:pPr>
              <w:spacing w:after="0"/>
              <w:ind w:left="2" w:right="2"/>
              <w:rPr>
                <w:sz w:val="14"/>
                <w:szCs w:val="14"/>
              </w:rPr>
            </w:pPr>
          </w:p>
        </w:tc>
        <w:tc>
          <w:tcPr>
            <w:tcW w:w="232" w:type="dxa"/>
            <w:tcBorders>
              <w:right w:val="single" w:sz="8" w:space="0" w:color="000000"/>
            </w:tcBorders>
            <w:shd w:val="clear" w:color="auto" w:fill="BDD7EE"/>
            <w:tcMar>
              <w:top w:w="0" w:type="dxa"/>
              <w:left w:w="0" w:type="dxa"/>
              <w:bottom w:w="0" w:type="dxa"/>
              <w:right w:w="0" w:type="dxa"/>
            </w:tcMar>
            <w:vAlign w:val="center"/>
          </w:tcPr>
          <w:p w14:paraId="216BF043" w14:textId="77777777" w:rsidR="002117B2" w:rsidRPr="00E50FE7" w:rsidRDefault="002117B2">
            <w:pPr>
              <w:spacing w:after="0"/>
              <w:ind w:left="2" w:right="2"/>
              <w:rPr>
                <w:sz w:val="14"/>
                <w:szCs w:val="14"/>
              </w:rPr>
            </w:pPr>
          </w:p>
        </w:tc>
      </w:tr>
      <w:tr w:rsidR="002117B2" w14:paraId="06E75989"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0FED600"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5B64AB65"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0102306" w14:textId="77777777" w:rsidR="002117B2" w:rsidRDefault="00616284">
            <w:pPr>
              <w:spacing w:after="0"/>
              <w:ind w:left="2" w:right="2"/>
              <w:jc w:val="center"/>
            </w:pPr>
            <w:r>
              <w:rPr>
                <w:rFonts w:ascii="Calibri" w:eastAsia="Calibri" w:hAnsi="Calibri" w:cs="Calibri"/>
                <w:b/>
                <w:color w:val="111111"/>
                <w:sz w:val="18"/>
                <w:szCs w:val="18"/>
              </w:rPr>
              <w:t>Technical Correction calculated by the TERT</w:t>
            </w:r>
          </w:p>
        </w:tc>
        <w:tc>
          <w:tcPr>
            <w:tcW w:w="193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61C7525" w14:textId="77777777" w:rsidR="002117B2" w:rsidRDefault="00616284">
            <w:pPr>
              <w:spacing w:after="0"/>
              <w:ind w:left="2" w:right="2"/>
              <w:jc w:val="center"/>
            </w:pPr>
            <w:r>
              <w:rPr>
                <w:rFonts w:ascii="Calibri" w:eastAsia="Calibri" w:hAnsi="Calibri" w:cs="Calibri"/>
                <w:b/>
                <w:color w:val="111111"/>
                <w:sz w:val="18"/>
                <w:szCs w:val="18"/>
              </w:rPr>
              <w:t>Notes</w:t>
            </w:r>
          </w:p>
        </w:tc>
        <w:tc>
          <w:tcPr>
            <w:tcW w:w="232" w:type="dxa"/>
            <w:tcBorders>
              <w:right w:val="single" w:sz="8" w:space="0" w:color="000000"/>
            </w:tcBorders>
            <w:shd w:val="clear" w:color="auto" w:fill="BDD7EE"/>
            <w:tcMar>
              <w:top w:w="0" w:type="dxa"/>
              <w:left w:w="0" w:type="dxa"/>
              <w:bottom w:w="0" w:type="dxa"/>
              <w:right w:w="0" w:type="dxa"/>
            </w:tcMar>
            <w:vAlign w:val="center"/>
          </w:tcPr>
          <w:p w14:paraId="4CC6EFB9" w14:textId="77777777" w:rsidR="002117B2" w:rsidRDefault="002117B2">
            <w:pPr>
              <w:spacing w:after="0"/>
              <w:ind w:left="2" w:right="2"/>
              <w:jc w:val="center"/>
            </w:pPr>
          </w:p>
        </w:tc>
      </w:tr>
      <w:tr w:rsidR="002117B2" w14:paraId="3A056CB0"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462A1A0"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6DF748F"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587481F"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1E6B39C"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A856C85"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BA1061B"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B7400D7"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C511971"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E49B5A8"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CCAAAF4" w14:textId="77777777" w:rsidR="002117B2" w:rsidRDefault="00616284">
            <w:pPr>
              <w:spacing w:after="0"/>
              <w:ind w:left="2" w:right="2"/>
              <w:jc w:val="center"/>
            </w:pPr>
            <w:r>
              <w:rPr>
                <w:rFonts w:ascii="Calibri" w:eastAsia="Calibri" w:hAnsi="Calibri" w:cs="Calibri"/>
                <w:color w:val="111111"/>
                <w:sz w:val="18"/>
                <w:szCs w:val="18"/>
              </w:rPr>
              <w:t>PCBs (kg)</w:t>
            </w:r>
          </w:p>
        </w:tc>
        <w:tc>
          <w:tcPr>
            <w:tcW w:w="193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60CF99A" w14:textId="77777777" w:rsidR="002117B2" w:rsidRDefault="002117B2">
            <w:pPr>
              <w:spacing w:after="0"/>
              <w:ind w:left="2" w:right="2"/>
              <w:jc w:val="center"/>
            </w:pPr>
          </w:p>
        </w:tc>
        <w:tc>
          <w:tcPr>
            <w:tcW w:w="232" w:type="dxa"/>
            <w:tcBorders>
              <w:right w:val="single" w:sz="8" w:space="0" w:color="000000"/>
            </w:tcBorders>
            <w:shd w:val="clear" w:color="auto" w:fill="BDD7EE"/>
            <w:tcMar>
              <w:top w:w="0" w:type="dxa"/>
              <w:left w:w="0" w:type="dxa"/>
              <w:bottom w:w="0" w:type="dxa"/>
              <w:right w:w="0" w:type="dxa"/>
            </w:tcMar>
            <w:vAlign w:val="center"/>
          </w:tcPr>
          <w:p w14:paraId="4AD0742B" w14:textId="77777777" w:rsidR="002117B2" w:rsidRDefault="002117B2">
            <w:pPr>
              <w:spacing w:after="0"/>
              <w:ind w:left="2" w:right="2"/>
              <w:jc w:val="center"/>
            </w:pPr>
          </w:p>
        </w:tc>
      </w:tr>
      <w:tr w:rsidR="002117B2" w14:paraId="5A81D45B"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D277852"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E3FE091"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970168" w14:textId="77777777" w:rsidR="002117B2" w:rsidRDefault="00616284">
            <w:pPr>
              <w:spacing w:after="0"/>
              <w:ind w:left="2" w:right="2"/>
            </w:pPr>
            <w:r>
              <w:rPr>
                <w:rFonts w:ascii="Calibri" w:eastAsia="Calibri" w:hAnsi="Calibri" w:cs="Calibri"/>
                <w:color w:val="111111"/>
                <w:sz w:val="18"/>
                <w:szCs w:val="18"/>
              </w:rPr>
              <w:t>0.154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1DA77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AE019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7F6F1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D5CDE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47E24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C0270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A595E7"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748367"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1EE1E102" w14:textId="77777777" w:rsidR="002117B2" w:rsidRDefault="002117B2">
            <w:pPr>
              <w:spacing w:after="0"/>
              <w:ind w:left="2" w:right="2"/>
            </w:pPr>
          </w:p>
        </w:tc>
      </w:tr>
      <w:tr w:rsidR="002117B2" w14:paraId="3585AB4E"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1BC7D9A"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72B4EEA"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7F5C45" w14:textId="77777777" w:rsidR="002117B2" w:rsidRDefault="00616284">
            <w:pPr>
              <w:spacing w:after="0"/>
              <w:ind w:left="2" w:right="2"/>
            </w:pPr>
            <w:r>
              <w:rPr>
                <w:rFonts w:ascii="Calibri" w:eastAsia="Calibri" w:hAnsi="Calibri" w:cs="Calibri"/>
                <w:color w:val="111111"/>
                <w:sz w:val="18"/>
                <w:szCs w:val="18"/>
              </w:rPr>
              <w:t>0.354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03A73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33F01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8F1BF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2FC81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1CD90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BEA8E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617037"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1ADBD3"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1B701295" w14:textId="77777777" w:rsidR="002117B2" w:rsidRDefault="002117B2">
            <w:pPr>
              <w:spacing w:after="0"/>
              <w:ind w:left="2" w:right="2"/>
            </w:pPr>
          </w:p>
        </w:tc>
      </w:tr>
      <w:tr w:rsidR="002117B2" w14:paraId="11C6132E"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409AC9F"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2302F12"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8AA12D" w14:textId="77777777" w:rsidR="002117B2" w:rsidRDefault="00616284">
            <w:pPr>
              <w:spacing w:after="0"/>
              <w:ind w:left="2" w:right="2"/>
            </w:pPr>
            <w:r>
              <w:rPr>
                <w:rFonts w:ascii="Calibri" w:eastAsia="Calibri" w:hAnsi="Calibri" w:cs="Calibri"/>
                <w:color w:val="111111"/>
                <w:sz w:val="18"/>
                <w:szCs w:val="18"/>
              </w:rPr>
              <w:t>0.392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561AC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4F3A8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86652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E4586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200E0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C62B1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70967B"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49C732"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6F6BB32F" w14:textId="77777777" w:rsidR="002117B2" w:rsidRDefault="002117B2">
            <w:pPr>
              <w:spacing w:after="0"/>
              <w:ind w:left="2" w:right="2"/>
            </w:pPr>
          </w:p>
        </w:tc>
      </w:tr>
      <w:tr w:rsidR="002117B2" w14:paraId="7C05B08D"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DA7DFC"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720282E"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B23B75" w14:textId="77777777" w:rsidR="002117B2" w:rsidRDefault="00616284">
            <w:pPr>
              <w:spacing w:after="0"/>
              <w:ind w:left="2" w:right="2"/>
            </w:pPr>
            <w:r>
              <w:rPr>
                <w:rFonts w:ascii="Calibri" w:eastAsia="Calibri" w:hAnsi="Calibri" w:cs="Calibri"/>
                <w:color w:val="111111"/>
                <w:sz w:val="18"/>
                <w:szCs w:val="18"/>
              </w:rPr>
              <w:t>0.437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9FF40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61D2C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DF665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66203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EE3A6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42DD8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395DA9"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CAD929"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3BF9DFA6" w14:textId="77777777" w:rsidR="002117B2" w:rsidRDefault="002117B2">
            <w:pPr>
              <w:spacing w:after="0"/>
              <w:ind w:left="2" w:right="2"/>
            </w:pPr>
          </w:p>
        </w:tc>
      </w:tr>
      <w:tr w:rsidR="002117B2" w14:paraId="65A7720D"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1531BD8"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C5FE271"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7EF300" w14:textId="77777777" w:rsidR="002117B2" w:rsidRDefault="00616284">
            <w:pPr>
              <w:spacing w:after="0"/>
              <w:ind w:left="2" w:right="2"/>
            </w:pPr>
            <w:r>
              <w:rPr>
                <w:rFonts w:ascii="Calibri" w:eastAsia="Calibri" w:hAnsi="Calibri" w:cs="Calibri"/>
                <w:color w:val="111111"/>
                <w:sz w:val="18"/>
                <w:szCs w:val="18"/>
              </w:rPr>
              <w:t>0.477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3D263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F0A07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48D8C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B2666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0F31C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F6114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02F883"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049A53"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74A128CF" w14:textId="77777777" w:rsidR="002117B2" w:rsidRDefault="002117B2">
            <w:pPr>
              <w:spacing w:after="0"/>
              <w:ind w:left="2" w:right="2"/>
            </w:pPr>
          </w:p>
        </w:tc>
      </w:tr>
      <w:tr w:rsidR="002117B2" w14:paraId="304F7F24"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3CF4971"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22416365"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418EF062"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23A8BF83"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1BC7CB40"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5ACD14BD"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08A1833C"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37344FD7"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6CE7CA0A" w14:textId="77777777" w:rsidR="002117B2" w:rsidRPr="00E50FE7" w:rsidRDefault="002117B2">
            <w:pPr>
              <w:spacing w:after="0"/>
              <w:ind w:left="2" w:right="2"/>
              <w:rPr>
                <w:sz w:val="14"/>
                <w:szCs w:val="14"/>
              </w:rPr>
            </w:pPr>
          </w:p>
        </w:tc>
        <w:tc>
          <w:tcPr>
            <w:tcW w:w="756" w:type="dxa"/>
            <w:shd w:val="clear" w:color="auto" w:fill="BDD7EE"/>
            <w:tcMar>
              <w:top w:w="0" w:type="dxa"/>
              <w:left w:w="0" w:type="dxa"/>
              <w:bottom w:w="0" w:type="dxa"/>
              <w:right w:w="0" w:type="dxa"/>
            </w:tcMar>
            <w:vAlign w:val="center"/>
          </w:tcPr>
          <w:p w14:paraId="133EC0CB" w14:textId="77777777" w:rsidR="002117B2" w:rsidRPr="00E50FE7" w:rsidRDefault="002117B2">
            <w:pPr>
              <w:spacing w:after="0"/>
              <w:ind w:left="2" w:right="2"/>
              <w:rPr>
                <w:sz w:val="14"/>
                <w:szCs w:val="14"/>
              </w:rPr>
            </w:pPr>
          </w:p>
        </w:tc>
        <w:tc>
          <w:tcPr>
            <w:tcW w:w="1932" w:type="dxa"/>
            <w:shd w:val="clear" w:color="auto" w:fill="BDD7EE"/>
            <w:tcMar>
              <w:top w:w="0" w:type="dxa"/>
              <w:left w:w="0" w:type="dxa"/>
              <w:bottom w:w="0" w:type="dxa"/>
              <w:right w:w="0" w:type="dxa"/>
            </w:tcMar>
            <w:vAlign w:val="center"/>
          </w:tcPr>
          <w:p w14:paraId="6976F998" w14:textId="77777777" w:rsidR="002117B2" w:rsidRPr="00E50FE7" w:rsidRDefault="002117B2">
            <w:pPr>
              <w:spacing w:after="0"/>
              <w:ind w:left="2" w:right="2"/>
              <w:rPr>
                <w:sz w:val="14"/>
                <w:szCs w:val="14"/>
              </w:rPr>
            </w:pPr>
          </w:p>
        </w:tc>
        <w:tc>
          <w:tcPr>
            <w:tcW w:w="232" w:type="dxa"/>
            <w:tcBorders>
              <w:right w:val="single" w:sz="8" w:space="0" w:color="000000"/>
            </w:tcBorders>
            <w:shd w:val="clear" w:color="auto" w:fill="BDD7EE"/>
            <w:tcMar>
              <w:top w:w="0" w:type="dxa"/>
              <w:left w:w="0" w:type="dxa"/>
              <w:bottom w:w="0" w:type="dxa"/>
              <w:right w:w="0" w:type="dxa"/>
            </w:tcMar>
            <w:vAlign w:val="center"/>
          </w:tcPr>
          <w:p w14:paraId="145231DC" w14:textId="77777777" w:rsidR="002117B2" w:rsidRPr="00E50FE7" w:rsidRDefault="002117B2">
            <w:pPr>
              <w:spacing w:after="0"/>
              <w:ind w:left="2" w:right="2"/>
              <w:rPr>
                <w:sz w:val="14"/>
                <w:szCs w:val="14"/>
              </w:rPr>
            </w:pPr>
          </w:p>
        </w:tc>
      </w:tr>
      <w:tr w:rsidR="002117B2" w14:paraId="12FE8850"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4CD6716"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06F89D20"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AB077EB" w14:textId="77777777" w:rsidR="002117B2" w:rsidRDefault="00616284">
            <w:pPr>
              <w:spacing w:after="0"/>
              <w:ind w:left="2" w:right="2"/>
              <w:jc w:val="center"/>
            </w:pPr>
            <w:r>
              <w:rPr>
                <w:rFonts w:ascii="Calibri" w:eastAsia="Calibri" w:hAnsi="Calibri" w:cs="Calibri"/>
                <w:b/>
                <w:color w:val="111111"/>
                <w:sz w:val="18"/>
                <w:szCs w:val="18"/>
              </w:rPr>
              <w:t>Difference between Original Estimate and Technical Correction</w:t>
            </w:r>
          </w:p>
        </w:tc>
        <w:tc>
          <w:tcPr>
            <w:tcW w:w="193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EF53B0E" w14:textId="77777777" w:rsidR="002117B2" w:rsidRDefault="00616284">
            <w:pPr>
              <w:spacing w:after="0"/>
              <w:ind w:left="2" w:right="2"/>
              <w:jc w:val="center"/>
            </w:pPr>
            <w:r>
              <w:rPr>
                <w:rFonts w:ascii="Calibri" w:eastAsia="Calibri" w:hAnsi="Calibri" w:cs="Calibri"/>
                <w:b/>
                <w:color w:val="111111"/>
                <w:sz w:val="18"/>
                <w:szCs w:val="18"/>
              </w:rPr>
              <w:t>Notes</w:t>
            </w:r>
          </w:p>
        </w:tc>
        <w:tc>
          <w:tcPr>
            <w:tcW w:w="232" w:type="dxa"/>
            <w:tcBorders>
              <w:right w:val="single" w:sz="8" w:space="0" w:color="000000"/>
            </w:tcBorders>
            <w:shd w:val="clear" w:color="auto" w:fill="BDD7EE"/>
            <w:tcMar>
              <w:top w:w="0" w:type="dxa"/>
              <w:left w:w="0" w:type="dxa"/>
              <w:bottom w:w="0" w:type="dxa"/>
              <w:right w:w="0" w:type="dxa"/>
            </w:tcMar>
            <w:vAlign w:val="center"/>
          </w:tcPr>
          <w:p w14:paraId="10E742E8" w14:textId="77777777" w:rsidR="002117B2" w:rsidRDefault="002117B2">
            <w:pPr>
              <w:spacing w:after="0"/>
              <w:ind w:left="2" w:right="2"/>
              <w:jc w:val="center"/>
            </w:pPr>
          </w:p>
        </w:tc>
      </w:tr>
      <w:tr w:rsidR="002117B2" w14:paraId="58CB192E"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9C02A39"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C209948"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9A5516C"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631763A"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2914852"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A901C93"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5A50262"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6591EF3"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40536B4"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7107CD8" w14:textId="77777777" w:rsidR="002117B2" w:rsidRDefault="00616284">
            <w:pPr>
              <w:spacing w:after="0"/>
              <w:ind w:left="2" w:right="2"/>
              <w:jc w:val="center"/>
            </w:pPr>
            <w:r>
              <w:rPr>
                <w:rFonts w:ascii="Calibri" w:eastAsia="Calibri" w:hAnsi="Calibri" w:cs="Calibri"/>
                <w:color w:val="111111"/>
                <w:sz w:val="18"/>
                <w:szCs w:val="18"/>
              </w:rPr>
              <w:t>PCBs (kg)</w:t>
            </w:r>
          </w:p>
        </w:tc>
        <w:tc>
          <w:tcPr>
            <w:tcW w:w="193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E924210" w14:textId="77777777" w:rsidR="002117B2" w:rsidRDefault="002117B2">
            <w:pPr>
              <w:spacing w:after="0"/>
              <w:ind w:left="2" w:right="2"/>
              <w:jc w:val="center"/>
            </w:pPr>
          </w:p>
        </w:tc>
        <w:tc>
          <w:tcPr>
            <w:tcW w:w="232" w:type="dxa"/>
            <w:tcBorders>
              <w:right w:val="single" w:sz="8" w:space="0" w:color="000000"/>
            </w:tcBorders>
            <w:shd w:val="clear" w:color="auto" w:fill="BDD7EE"/>
            <w:tcMar>
              <w:top w:w="0" w:type="dxa"/>
              <w:left w:w="0" w:type="dxa"/>
              <w:bottom w:w="0" w:type="dxa"/>
              <w:right w:w="0" w:type="dxa"/>
            </w:tcMar>
            <w:vAlign w:val="center"/>
          </w:tcPr>
          <w:p w14:paraId="1BFD2041" w14:textId="77777777" w:rsidR="002117B2" w:rsidRDefault="002117B2">
            <w:pPr>
              <w:spacing w:after="0"/>
              <w:ind w:left="2" w:right="2"/>
              <w:jc w:val="center"/>
            </w:pPr>
          </w:p>
        </w:tc>
      </w:tr>
      <w:tr w:rsidR="002117B2" w14:paraId="67117425"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291E310"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1C09F20"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A55EF3" w14:textId="77777777" w:rsidR="002117B2" w:rsidRDefault="00616284">
            <w:pPr>
              <w:spacing w:after="0"/>
              <w:ind w:left="2" w:right="2"/>
            </w:pPr>
            <w:r>
              <w:rPr>
                <w:rFonts w:ascii="Calibri" w:eastAsia="Calibri" w:hAnsi="Calibri" w:cs="Calibri"/>
                <w:color w:val="111111"/>
                <w:sz w:val="18"/>
                <w:szCs w:val="18"/>
              </w:rPr>
              <w:t>0.154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38765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205D7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AF70A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82AF1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848E3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5124B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FAF5DF"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B740FB"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0044B647" w14:textId="77777777" w:rsidR="002117B2" w:rsidRDefault="002117B2">
            <w:pPr>
              <w:spacing w:after="0"/>
              <w:ind w:left="2" w:right="2"/>
            </w:pPr>
          </w:p>
        </w:tc>
      </w:tr>
      <w:tr w:rsidR="002117B2" w14:paraId="0682F134"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3A18BAF"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7786B14"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B0A214" w14:textId="77777777" w:rsidR="002117B2" w:rsidRDefault="00616284">
            <w:pPr>
              <w:spacing w:after="0"/>
              <w:ind w:left="2" w:right="2"/>
            </w:pPr>
            <w:r>
              <w:rPr>
                <w:rFonts w:ascii="Calibri" w:eastAsia="Calibri" w:hAnsi="Calibri" w:cs="Calibri"/>
                <w:color w:val="111111"/>
                <w:sz w:val="18"/>
                <w:szCs w:val="18"/>
              </w:rPr>
              <w:t>0.354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469B8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C86D3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12D08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D6234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13638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DD457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BF054E"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3B4CCB"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1EFDB7DA" w14:textId="77777777" w:rsidR="002117B2" w:rsidRDefault="002117B2">
            <w:pPr>
              <w:spacing w:after="0"/>
              <w:ind w:left="2" w:right="2"/>
            </w:pPr>
          </w:p>
        </w:tc>
      </w:tr>
      <w:tr w:rsidR="002117B2" w14:paraId="520DC5FE"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86C048C"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2F75298"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283BA1" w14:textId="77777777" w:rsidR="002117B2" w:rsidRDefault="00616284">
            <w:pPr>
              <w:spacing w:after="0"/>
              <w:ind w:left="2" w:right="2"/>
            </w:pPr>
            <w:r>
              <w:rPr>
                <w:rFonts w:ascii="Calibri" w:eastAsia="Calibri" w:hAnsi="Calibri" w:cs="Calibri"/>
                <w:color w:val="111111"/>
                <w:sz w:val="18"/>
                <w:szCs w:val="18"/>
              </w:rPr>
              <w:t>0.392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8461F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AFD9D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45BA8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12365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BCA61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3D8AF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080251"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4D8AE8"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33D6C9F0" w14:textId="77777777" w:rsidR="002117B2" w:rsidRDefault="002117B2">
            <w:pPr>
              <w:spacing w:after="0"/>
              <w:ind w:left="2" w:right="2"/>
            </w:pPr>
          </w:p>
        </w:tc>
      </w:tr>
      <w:tr w:rsidR="002117B2" w14:paraId="1A6E9144"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57177E3"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D113EC5"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A1D66C" w14:textId="77777777" w:rsidR="002117B2" w:rsidRDefault="00616284">
            <w:pPr>
              <w:spacing w:after="0"/>
              <w:ind w:left="2" w:right="2"/>
            </w:pPr>
            <w:r>
              <w:rPr>
                <w:rFonts w:ascii="Calibri" w:eastAsia="Calibri" w:hAnsi="Calibri" w:cs="Calibri"/>
                <w:color w:val="111111"/>
                <w:sz w:val="18"/>
                <w:szCs w:val="18"/>
              </w:rPr>
              <w:t>0.437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ABB25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E4B96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A94E1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252EC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8170F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D8D08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C3FE51"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004345"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00215961" w14:textId="77777777" w:rsidR="002117B2" w:rsidRDefault="002117B2">
            <w:pPr>
              <w:spacing w:after="0"/>
              <w:ind w:left="2" w:right="2"/>
            </w:pPr>
          </w:p>
        </w:tc>
      </w:tr>
      <w:tr w:rsidR="002117B2" w14:paraId="6DB71E93"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EC7ABEF"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D1BA394"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5F5A2D" w14:textId="77777777" w:rsidR="002117B2" w:rsidRDefault="00616284">
            <w:pPr>
              <w:spacing w:after="0"/>
              <w:ind w:left="2" w:right="2"/>
            </w:pPr>
            <w:r>
              <w:rPr>
                <w:rFonts w:ascii="Calibri" w:eastAsia="Calibri" w:hAnsi="Calibri" w:cs="Calibri"/>
                <w:color w:val="111111"/>
                <w:sz w:val="18"/>
                <w:szCs w:val="18"/>
              </w:rPr>
              <w:t>0.477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13627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B53B3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AD412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A8B03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7DC37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BFA82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A1F147" w14:textId="77777777" w:rsidR="002117B2" w:rsidRDefault="002117B2">
            <w:pPr>
              <w:spacing w:after="0"/>
              <w:ind w:left="2" w:right="2"/>
            </w:pP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B1EADC" w14:textId="77777777" w:rsidR="002117B2" w:rsidRDefault="002117B2">
            <w:pPr>
              <w:spacing w:after="0"/>
              <w:ind w:left="2" w:right="2"/>
            </w:pPr>
          </w:p>
        </w:tc>
        <w:tc>
          <w:tcPr>
            <w:tcW w:w="232" w:type="dxa"/>
            <w:tcBorders>
              <w:right w:val="single" w:sz="8" w:space="0" w:color="000000"/>
            </w:tcBorders>
            <w:shd w:val="clear" w:color="auto" w:fill="BDD7EE"/>
            <w:tcMar>
              <w:top w:w="0" w:type="dxa"/>
              <w:left w:w="0" w:type="dxa"/>
              <w:bottom w:w="0" w:type="dxa"/>
              <w:right w:w="0" w:type="dxa"/>
            </w:tcMar>
            <w:vAlign w:val="center"/>
          </w:tcPr>
          <w:p w14:paraId="228BF15C" w14:textId="77777777" w:rsidR="002117B2" w:rsidRDefault="002117B2">
            <w:pPr>
              <w:spacing w:after="0"/>
              <w:ind w:left="2" w:right="2"/>
            </w:pPr>
          </w:p>
        </w:tc>
      </w:tr>
      <w:tr w:rsidR="002117B2" w14:paraId="4D503818" w14:textId="77777777" w:rsidTr="00E50FE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51CEA89" w14:textId="77777777" w:rsidR="002117B2" w:rsidRDefault="002117B2">
            <w:pPr>
              <w:spacing w:after="0"/>
              <w:ind w:left="2" w:right="2"/>
              <w:jc w:val="center"/>
            </w:pPr>
          </w:p>
        </w:tc>
        <w:tc>
          <w:tcPr>
            <w:tcW w:w="1008" w:type="dxa"/>
            <w:tcBorders>
              <w:bottom w:val="single" w:sz="8" w:space="0" w:color="000000"/>
            </w:tcBorders>
            <w:shd w:val="clear" w:color="auto" w:fill="BDD7EE"/>
            <w:tcMar>
              <w:top w:w="0" w:type="dxa"/>
              <w:left w:w="0" w:type="dxa"/>
              <w:bottom w:w="0" w:type="dxa"/>
              <w:right w:w="0" w:type="dxa"/>
            </w:tcMar>
            <w:vAlign w:val="center"/>
          </w:tcPr>
          <w:p w14:paraId="615E4A6E"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795A54CB"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1973F319"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1041C998"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46DF98F2"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0AFB55C2"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67159EC8"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43795E69" w14:textId="77777777" w:rsidR="002117B2" w:rsidRPr="00E50FE7" w:rsidRDefault="002117B2">
            <w:pPr>
              <w:spacing w:after="0"/>
              <w:ind w:left="2" w:right="2"/>
              <w:rPr>
                <w:sz w:val="14"/>
                <w:szCs w:val="14"/>
              </w:rPr>
            </w:pPr>
          </w:p>
        </w:tc>
        <w:tc>
          <w:tcPr>
            <w:tcW w:w="756" w:type="dxa"/>
            <w:tcBorders>
              <w:bottom w:val="single" w:sz="8" w:space="0" w:color="000000"/>
            </w:tcBorders>
            <w:shd w:val="clear" w:color="auto" w:fill="BDD7EE"/>
            <w:tcMar>
              <w:top w:w="0" w:type="dxa"/>
              <w:left w:w="0" w:type="dxa"/>
              <w:bottom w:w="0" w:type="dxa"/>
              <w:right w:w="0" w:type="dxa"/>
            </w:tcMar>
            <w:vAlign w:val="center"/>
          </w:tcPr>
          <w:p w14:paraId="2227B05F" w14:textId="77777777" w:rsidR="002117B2" w:rsidRPr="00E50FE7" w:rsidRDefault="002117B2">
            <w:pPr>
              <w:spacing w:after="0"/>
              <w:ind w:left="2" w:right="2"/>
              <w:rPr>
                <w:sz w:val="14"/>
                <w:szCs w:val="14"/>
              </w:rPr>
            </w:pPr>
          </w:p>
        </w:tc>
        <w:tc>
          <w:tcPr>
            <w:tcW w:w="1932" w:type="dxa"/>
            <w:tcBorders>
              <w:bottom w:val="single" w:sz="8" w:space="0" w:color="000000"/>
            </w:tcBorders>
            <w:shd w:val="clear" w:color="auto" w:fill="BDD7EE"/>
            <w:tcMar>
              <w:top w:w="0" w:type="dxa"/>
              <w:left w:w="0" w:type="dxa"/>
              <w:bottom w:w="0" w:type="dxa"/>
              <w:right w:w="0" w:type="dxa"/>
            </w:tcMar>
            <w:vAlign w:val="center"/>
          </w:tcPr>
          <w:p w14:paraId="67A5F843" w14:textId="77777777" w:rsidR="002117B2" w:rsidRPr="00E50FE7" w:rsidRDefault="002117B2">
            <w:pPr>
              <w:spacing w:after="0"/>
              <w:ind w:left="2" w:right="2"/>
              <w:rPr>
                <w:sz w:val="14"/>
                <w:szCs w:val="14"/>
              </w:rPr>
            </w:pPr>
          </w:p>
        </w:tc>
        <w:tc>
          <w:tcPr>
            <w:tcW w:w="232"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653214AE" w14:textId="77777777" w:rsidR="002117B2" w:rsidRPr="00E50FE7" w:rsidRDefault="002117B2">
            <w:pPr>
              <w:spacing w:after="0"/>
              <w:ind w:left="2" w:right="2"/>
              <w:rPr>
                <w:sz w:val="14"/>
                <w:szCs w:val="14"/>
              </w:rPr>
            </w:pPr>
          </w:p>
        </w:tc>
      </w:tr>
    </w:tbl>
    <w:p w14:paraId="1984C53E" w14:textId="77777777" w:rsidR="002117B2" w:rsidRDefault="00616284">
      <w:r>
        <w:br w:type="page"/>
      </w:r>
    </w:p>
    <w:tbl>
      <w:tblPr>
        <w:tblW w:w="9360" w:type="dxa"/>
        <w:jc w:val="center"/>
        <w:tblLayout w:type="fixed"/>
        <w:tblLook w:val="0420" w:firstRow="1" w:lastRow="0" w:firstColumn="0" w:lastColumn="0" w:noHBand="0" w:noVBand="1"/>
      </w:tblPr>
      <w:tblGrid>
        <w:gridCol w:w="216"/>
        <w:gridCol w:w="1008"/>
        <w:gridCol w:w="756"/>
        <w:gridCol w:w="756"/>
        <w:gridCol w:w="756"/>
        <w:gridCol w:w="756"/>
        <w:gridCol w:w="756"/>
        <w:gridCol w:w="756"/>
        <w:gridCol w:w="756"/>
        <w:gridCol w:w="756"/>
        <w:gridCol w:w="1872"/>
        <w:gridCol w:w="216"/>
      </w:tblGrid>
      <w:tr w:rsidR="002117B2" w14:paraId="193717B6"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58F8ACE" w14:textId="77777777" w:rsidR="002117B2" w:rsidRDefault="00616284">
            <w:pPr>
              <w:spacing w:after="0"/>
              <w:ind w:left="2" w:right="2"/>
              <w:jc w:val="center"/>
            </w:pPr>
            <w:r>
              <w:rPr>
                <w:rFonts w:ascii="Calibri" w:eastAsia="Calibri" w:hAnsi="Calibri" w:cs="Calibri"/>
                <w:b/>
                <w:color w:val="FFFFFF"/>
                <w:sz w:val="18"/>
                <w:szCs w:val="18"/>
              </w:rPr>
              <w:t>1</w:t>
            </w:r>
          </w:p>
        </w:tc>
        <w:tc>
          <w:tcPr>
            <w:tcW w:w="1008" w:type="dxa"/>
            <w:tcBorders>
              <w:top w:val="single" w:sz="8" w:space="0" w:color="000000"/>
            </w:tcBorders>
            <w:shd w:val="clear" w:color="auto" w:fill="BDD7EE"/>
            <w:tcMar>
              <w:top w:w="0" w:type="dxa"/>
              <w:left w:w="0" w:type="dxa"/>
              <w:bottom w:w="0" w:type="dxa"/>
              <w:right w:w="0" w:type="dxa"/>
            </w:tcMar>
            <w:vAlign w:val="center"/>
          </w:tcPr>
          <w:p w14:paraId="3ECCCBEA"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51B7A9FF"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0E017B40"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69E1F108"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1BE8B53F"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497DF699"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006A14B7"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00A96EC0"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7F0A6D0D" w14:textId="77777777" w:rsidR="002117B2" w:rsidRDefault="002117B2">
            <w:pPr>
              <w:spacing w:after="0"/>
              <w:ind w:left="2" w:right="2"/>
            </w:pPr>
          </w:p>
        </w:tc>
        <w:tc>
          <w:tcPr>
            <w:tcW w:w="1872" w:type="dxa"/>
            <w:tcBorders>
              <w:top w:val="single" w:sz="8" w:space="0" w:color="000000"/>
            </w:tcBorders>
            <w:shd w:val="clear" w:color="auto" w:fill="BDD7EE"/>
            <w:tcMar>
              <w:top w:w="0" w:type="dxa"/>
              <w:left w:w="0" w:type="dxa"/>
              <w:bottom w:w="0" w:type="dxa"/>
              <w:right w:w="0" w:type="dxa"/>
            </w:tcMar>
            <w:vAlign w:val="center"/>
          </w:tcPr>
          <w:p w14:paraId="4E0684FE" w14:textId="77777777" w:rsidR="002117B2" w:rsidRDefault="002117B2">
            <w:pPr>
              <w:spacing w:after="0"/>
              <w:ind w:left="2" w:right="2"/>
            </w:pPr>
          </w:p>
        </w:tc>
        <w:tc>
          <w:tcPr>
            <w:tcW w:w="216" w:type="dxa"/>
            <w:tcBorders>
              <w:top w:val="single" w:sz="8" w:space="0" w:color="000000"/>
              <w:right w:val="single" w:sz="8" w:space="0" w:color="000000"/>
            </w:tcBorders>
            <w:shd w:val="clear" w:color="auto" w:fill="BDD7EE"/>
            <w:tcMar>
              <w:top w:w="0" w:type="dxa"/>
              <w:left w:w="0" w:type="dxa"/>
              <w:bottom w:w="0" w:type="dxa"/>
              <w:right w:w="0" w:type="dxa"/>
            </w:tcMar>
            <w:vAlign w:val="center"/>
          </w:tcPr>
          <w:p w14:paraId="6B28D9C4" w14:textId="77777777" w:rsidR="002117B2" w:rsidRDefault="002117B2">
            <w:pPr>
              <w:spacing w:after="0"/>
              <w:ind w:left="2" w:right="2"/>
            </w:pPr>
          </w:p>
        </w:tc>
      </w:tr>
      <w:tr w:rsidR="002117B2" w14:paraId="523293E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1955CFB"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A1D0E69" w14:textId="77777777" w:rsidR="002117B2" w:rsidRDefault="00616284">
            <w:pPr>
              <w:spacing w:after="0"/>
              <w:ind w:left="2" w:right="2"/>
            </w:pPr>
            <w:r>
              <w:rPr>
                <w:rFonts w:ascii="Calibri" w:eastAsia="Calibri" w:hAnsi="Calibri" w:cs="Calibri"/>
                <w:color w:val="111111"/>
                <w:sz w:val="18"/>
                <w:szCs w:val="18"/>
              </w:rPr>
              <w:t>EMRT ID:</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BE8420" w14:textId="77777777" w:rsidR="002117B2" w:rsidRDefault="00616284">
            <w:pPr>
              <w:spacing w:after="0"/>
              <w:ind w:left="2" w:right="2"/>
            </w:pPr>
            <w:r>
              <w:rPr>
                <w:rFonts w:ascii="Calibri" w:eastAsia="Calibri" w:hAnsi="Calibri" w:cs="Calibri"/>
                <w:color w:val="111111"/>
                <w:sz w:val="18"/>
                <w:szCs w:val="18"/>
              </w:rPr>
              <w:t>LT-5C2-2020-0001</w:t>
            </w:r>
          </w:p>
        </w:tc>
        <w:tc>
          <w:tcPr>
            <w:tcW w:w="216" w:type="dxa"/>
            <w:tcBorders>
              <w:right w:val="single" w:sz="8" w:space="0" w:color="000000"/>
            </w:tcBorders>
            <w:shd w:val="clear" w:color="auto" w:fill="BDD7EE"/>
            <w:tcMar>
              <w:top w:w="0" w:type="dxa"/>
              <w:left w:w="0" w:type="dxa"/>
              <w:bottom w:w="0" w:type="dxa"/>
              <w:right w:w="0" w:type="dxa"/>
            </w:tcMar>
            <w:vAlign w:val="center"/>
          </w:tcPr>
          <w:p w14:paraId="02DF7906" w14:textId="77777777" w:rsidR="002117B2" w:rsidRDefault="002117B2">
            <w:pPr>
              <w:spacing w:after="0"/>
              <w:ind w:left="2" w:right="2"/>
            </w:pPr>
          </w:p>
        </w:tc>
      </w:tr>
      <w:tr w:rsidR="002117B2" w14:paraId="5224B40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960CBA6"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171A222" w14:textId="77777777" w:rsidR="002117B2" w:rsidRDefault="00616284">
            <w:pPr>
              <w:spacing w:after="0"/>
              <w:ind w:left="2" w:right="2"/>
            </w:pPr>
            <w:r>
              <w:rPr>
                <w:rFonts w:ascii="Calibri" w:eastAsia="Calibri" w:hAnsi="Calibri" w:cs="Calibri"/>
                <w:color w:val="111111"/>
                <w:sz w:val="18"/>
                <w:szCs w:val="18"/>
              </w:rPr>
              <w:t>EMRT URL:</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65AB85" w14:textId="77777777" w:rsidR="002117B2" w:rsidRDefault="00616284">
            <w:pPr>
              <w:spacing w:after="0"/>
              <w:ind w:left="2" w:right="2"/>
            </w:pPr>
            <w:r>
              <w:rPr>
                <w:rFonts w:ascii="Calibri" w:eastAsia="Calibri" w:hAnsi="Calibri" w:cs="Calibri"/>
                <w:color w:val="111111"/>
                <w:sz w:val="18"/>
                <w:szCs w:val="18"/>
              </w:rPr>
              <w:t>https://emrt-necd.eionet.europa.eu/2020/LT-5C2-2020-0001</w:t>
            </w:r>
          </w:p>
        </w:tc>
        <w:tc>
          <w:tcPr>
            <w:tcW w:w="216" w:type="dxa"/>
            <w:tcBorders>
              <w:right w:val="single" w:sz="8" w:space="0" w:color="000000"/>
            </w:tcBorders>
            <w:shd w:val="clear" w:color="auto" w:fill="BDD7EE"/>
            <w:tcMar>
              <w:top w:w="0" w:type="dxa"/>
              <w:left w:w="0" w:type="dxa"/>
              <w:bottom w:w="0" w:type="dxa"/>
              <w:right w:w="0" w:type="dxa"/>
            </w:tcMar>
            <w:vAlign w:val="center"/>
          </w:tcPr>
          <w:p w14:paraId="0A71FDDD" w14:textId="77777777" w:rsidR="002117B2" w:rsidRDefault="002117B2">
            <w:pPr>
              <w:spacing w:after="0"/>
              <w:ind w:left="2" w:right="2"/>
            </w:pPr>
          </w:p>
        </w:tc>
      </w:tr>
      <w:tr w:rsidR="002117B2" w14:paraId="621A89F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51AE826"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448ECD2" w14:textId="77777777" w:rsidR="002117B2" w:rsidRDefault="00616284">
            <w:pPr>
              <w:spacing w:after="0"/>
              <w:ind w:left="2" w:right="2"/>
            </w:pPr>
            <w:r>
              <w:rPr>
                <w:rFonts w:ascii="Calibri" w:eastAsia="Calibri" w:hAnsi="Calibri" w:cs="Calibri"/>
                <w:color w:val="111111"/>
                <w:sz w:val="18"/>
                <w:szCs w:val="18"/>
              </w:rPr>
              <w:t>Member State:</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B2072A" w14:textId="77777777" w:rsidR="002117B2" w:rsidRDefault="00616284">
            <w:pPr>
              <w:spacing w:after="0"/>
              <w:ind w:left="2" w:right="2"/>
            </w:pPr>
            <w:r>
              <w:rPr>
                <w:rFonts w:ascii="Calibri" w:eastAsia="Calibri" w:hAnsi="Calibri" w:cs="Calibri"/>
                <w:color w:val="111111"/>
                <w:sz w:val="18"/>
                <w:szCs w:val="18"/>
              </w:rPr>
              <w:t>Lithuania</w:t>
            </w:r>
          </w:p>
        </w:tc>
        <w:tc>
          <w:tcPr>
            <w:tcW w:w="216" w:type="dxa"/>
            <w:tcBorders>
              <w:right w:val="single" w:sz="8" w:space="0" w:color="000000"/>
            </w:tcBorders>
            <w:shd w:val="clear" w:color="auto" w:fill="BDD7EE"/>
            <w:tcMar>
              <w:top w:w="0" w:type="dxa"/>
              <w:left w:w="0" w:type="dxa"/>
              <w:bottom w:w="0" w:type="dxa"/>
              <w:right w:w="0" w:type="dxa"/>
            </w:tcMar>
            <w:vAlign w:val="center"/>
          </w:tcPr>
          <w:p w14:paraId="24C985B0" w14:textId="77777777" w:rsidR="002117B2" w:rsidRDefault="002117B2">
            <w:pPr>
              <w:spacing w:after="0"/>
              <w:ind w:left="2" w:right="2"/>
            </w:pPr>
          </w:p>
        </w:tc>
      </w:tr>
      <w:tr w:rsidR="002117B2" w14:paraId="6BB5B34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F2B2764"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592E153" w14:textId="77777777" w:rsidR="002117B2" w:rsidRDefault="00616284">
            <w:pPr>
              <w:spacing w:after="0"/>
              <w:ind w:left="2" w:right="2"/>
            </w:pPr>
            <w:r>
              <w:rPr>
                <w:rFonts w:ascii="Calibri" w:eastAsia="Calibri" w:hAnsi="Calibri" w:cs="Calibri"/>
                <w:color w:val="111111"/>
                <w:sz w:val="18"/>
                <w:szCs w:val="18"/>
              </w:rPr>
              <w:t>Sector:</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DAF742" w14:textId="006664B1" w:rsidR="002117B2" w:rsidRDefault="00616284">
            <w:pPr>
              <w:spacing w:after="0"/>
              <w:ind w:left="2" w:right="2"/>
            </w:pPr>
            <w:r>
              <w:rPr>
                <w:rFonts w:ascii="Calibri" w:eastAsia="Calibri" w:hAnsi="Calibri" w:cs="Calibri"/>
                <w:color w:val="111111"/>
                <w:sz w:val="18"/>
                <w:szCs w:val="18"/>
              </w:rPr>
              <w:t xml:space="preserve">5C2 Open </w:t>
            </w:r>
            <w:r w:rsidR="00CD02E8">
              <w:rPr>
                <w:rFonts w:ascii="Calibri" w:eastAsia="Calibri" w:hAnsi="Calibri" w:cs="Calibri"/>
                <w:color w:val="111111"/>
                <w:sz w:val="18"/>
                <w:szCs w:val="18"/>
              </w:rPr>
              <w:t>Burning of Waste</w:t>
            </w:r>
          </w:p>
        </w:tc>
        <w:tc>
          <w:tcPr>
            <w:tcW w:w="216" w:type="dxa"/>
            <w:tcBorders>
              <w:right w:val="single" w:sz="8" w:space="0" w:color="000000"/>
            </w:tcBorders>
            <w:shd w:val="clear" w:color="auto" w:fill="BDD7EE"/>
            <w:tcMar>
              <w:top w:w="0" w:type="dxa"/>
              <w:left w:w="0" w:type="dxa"/>
              <w:bottom w:w="0" w:type="dxa"/>
              <w:right w:w="0" w:type="dxa"/>
            </w:tcMar>
            <w:vAlign w:val="center"/>
          </w:tcPr>
          <w:p w14:paraId="014C6B1C" w14:textId="77777777" w:rsidR="002117B2" w:rsidRDefault="002117B2">
            <w:pPr>
              <w:spacing w:after="0"/>
              <w:ind w:left="2" w:right="2"/>
            </w:pPr>
          </w:p>
        </w:tc>
      </w:tr>
      <w:tr w:rsidR="002117B2" w14:paraId="3F1C879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4AB03FB"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FC4961E" w14:textId="77777777" w:rsidR="002117B2" w:rsidRDefault="00616284">
            <w:pPr>
              <w:spacing w:after="0"/>
              <w:ind w:left="2" w:right="2"/>
            </w:pPr>
            <w:r>
              <w:rPr>
                <w:rFonts w:ascii="Calibri" w:eastAsia="Calibri" w:hAnsi="Calibri" w:cs="Calibri"/>
                <w:color w:val="111111"/>
                <w:sz w:val="18"/>
                <w:szCs w:val="18"/>
              </w:rPr>
              <w:t>Pollutants:</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BFBFE2" w14:textId="77777777" w:rsidR="002117B2" w:rsidRDefault="00616284">
            <w:pPr>
              <w:spacing w:after="0"/>
              <w:ind w:left="2" w:right="2"/>
            </w:pPr>
            <w:r>
              <w:rPr>
                <w:rFonts w:ascii="Calibri" w:eastAsia="Calibri" w:hAnsi="Calibri" w:cs="Calibri"/>
                <w:color w:val="111111"/>
                <w:sz w:val="18"/>
                <w:szCs w:val="18"/>
              </w:rPr>
              <w:t>PAHs ("Total 1-4")</w:t>
            </w:r>
          </w:p>
        </w:tc>
        <w:tc>
          <w:tcPr>
            <w:tcW w:w="216" w:type="dxa"/>
            <w:tcBorders>
              <w:right w:val="single" w:sz="8" w:space="0" w:color="000000"/>
            </w:tcBorders>
            <w:shd w:val="clear" w:color="auto" w:fill="BDD7EE"/>
            <w:tcMar>
              <w:top w:w="0" w:type="dxa"/>
              <w:left w:w="0" w:type="dxa"/>
              <w:bottom w:w="0" w:type="dxa"/>
              <w:right w:w="0" w:type="dxa"/>
            </w:tcMar>
            <w:vAlign w:val="center"/>
          </w:tcPr>
          <w:p w14:paraId="7E3129C6" w14:textId="77777777" w:rsidR="002117B2" w:rsidRDefault="002117B2">
            <w:pPr>
              <w:spacing w:after="0"/>
              <w:ind w:left="2" w:right="2"/>
            </w:pPr>
          </w:p>
        </w:tc>
      </w:tr>
      <w:tr w:rsidR="002117B2" w14:paraId="21C4185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48B8773"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7D81275" w14:textId="77777777" w:rsidR="002117B2" w:rsidRDefault="00616284">
            <w:pPr>
              <w:spacing w:after="0"/>
              <w:ind w:left="2" w:right="2"/>
            </w:pPr>
            <w:r>
              <w:rPr>
                <w:rFonts w:ascii="Calibri" w:eastAsia="Calibri" w:hAnsi="Calibri" w:cs="Calibri"/>
                <w:color w:val="111111"/>
                <w:sz w:val="18"/>
                <w:szCs w:val="18"/>
              </w:rPr>
              <w:t>Completed by (SE):</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48D783" w14:textId="77777777" w:rsidR="002117B2" w:rsidRDefault="00616284">
            <w:pPr>
              <w:spacing w:after="0"/>
              <w:ind w:left="2" w:right="2"/>
            </w:pPr>
            <w:r>
              <w:rPr>
                <w:rFonts w:ascii="Calibri" w:eastAsia="Calibri" w:hAnsi="Calibri" w:cs="Calibri"/>
                <w:color w:val="111111"/>
                <w:sz w:val="18"/>
                <w:szCs w:val="18"/>
              </w:rPr>
              <w:t>Celine Gueguen</w:t>
            </w:r>
          </w:p>
        </w:tc>
        <w:tc>
          <w:tcPr>
            <w:tcW w:w="216" w:type="dxa"/>
            <w:tcBorders>
              <w:right w:val="single" w:sz="8" w:space="0" w:color="000000"/>
            </w:tcBorders>
            <w:shd w:val="clear" w:color="auto" w:fill="BDD7EE"/>
            <w:tcMar>
              <w:top w:w="0" w:type="dxa"/>
              <w:left w:w="0" w:type="dxa"/>
              <w:bottom w:w="0" w:type="dxa"/>
              <w:right w:w="0" w:type="dxa"/>
            </w:tcMar>
            <w:vAlign w:val="center"/>
          </w:tcPr>
          <w:p w14:paraId="4080A198" w14:textId="77777777" w:rsidR="002117B2" w:rsidRDefault="002117B2">
            <w:pPr>
              <w:spacing w:after="0"/>
              <w:ind w:left="2" w:right="2"/>
            </w:pPr>
          </w:p>
        </w:tc>
      </w:tr>
      <w:tr w:rsidR="002117B2" w14:paraId="531B59E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AE780F2"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E4AC9F7" w14:textId="77777777" w:rsidR="002117B2" w:rsidRDefault="00616284">
            <w:pPr>
              <w:spacing w:after="0"/>
              <w:ind w:left="2" w:right="2"/>
            </w:pPr>
            <w:r>
              <w:rPr>
                <w:rFonts w:ascii="Calibri" w:eastAsia="Calibri" w:hAnsi="Calibri" w:cs="Calibri"/>
                <w:color w:val="111111"/>
                <w:sz w:val="18"/>
                <w:szCs w:val="18"/>
              </w:rPr>
              <w:t>Reviewed by (LR):</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32BA8F" w14:textId="77777777" w:rsidR="002117B2" w:rsidRDefault="00616284">
            <w:pPr>
              <w:spacing w:after="0"/>
              <w:ind w:left="2" w:right="2"/>
            </w:pPr>
            <w:r>
              <w:rPr>
                <w:rFonts w:ascii="Calibri" w:eastAsia="Calibri" w:hAnsi="Calibri" w:cs="Calibri"/>
                <w:color w:val="111111"/>
                <w:sz w:val="18"/>
                <w:szCs w:val="18"/>
              </w:rPr>
              <w:t>Justin Goodwin</w:t>
            </w:r>
          </w:p>
        </w:tc>
        <w:tc>
          <w:tcPr>
            <w:tcW w:w="216" w:type="dxa"/>
            <w:tcBorders>
              <w:right w:val="single" w:sz="8" w:space="0" w:color="000000"/>
            </w:tcBorders>
            <w:shd w:val="clear" w:color="auto" w:fill="BDD7EE"/>
            <w:tcMar>
              <w:top w:w="0" w:type="dxa"/>
              <w:left w:w="0" w:type="dxa"/>
              <w:bottom w:w="0" w:type="dxa"/>
              <w:right w:w="0" w:type="dxa"/>
            </w:tcMar>
            <w:vAlign w:val="center"/>
          </w:tcPr>
          <w:p w14:paraId="532BD1C5" w14:textId="77777777" w:rsidR="002117B2" w:rsidRDefault="002117B2">
            <w:pPr>
              <w:spacing w:after="0"/>
              <w:ind w:left="2" w:right="2"/>
            </w:pPr>
          </w:p>
        </w:tc>
      </w:tr>
      <w:tr w:rsidR="002117B2" w14:paraId="18551C8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B546C2C"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0C6C6D9" w14:textId="77777777" w:rsidR="002117B2" w:rsidRDefault="00616284">
            <w:pPr>
              <w:spacing w:after="0"/>
              <w:ind w:left="2" w:right="2"/>
            </w:pPr>
            <w:r>
              <w:rPr>
                <w:rFonts w:ascii="Calibri" w:eastAsia="Calibri" w:hAnsi="Calibri" w:cs="Calibri"/>
                <w:color w:val="111111"/>
                <w:sz w:val="18"/>
                <w:szCs w:val="18"/>
              </w:rPr>
              <w:t>Reviewed by (Counterpart):</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C75E20" w14:textId="77777777" w:rsidR="002117B2" w:rsidRDefault="00616284">
            <w:pPr>
              <w:spacing w:after="0"/>
              <w:ind w:left="2" w:right="2"/>
            </w:pPr>
            <w:r>
              <w:rPr>
                <w:rFonts w:ascii="Calibri" w:eastAsia="Calibri" w:hAnsi="Calibri" w:cs="Calibri"/>
                <w:color w:val="111111"/>
                <w:sz w:val="18"/>
                <w:szCs w:val="18"/>
              </w:rPr>
              <w:t>Romain Bort</w:t>
            </w:r>
          </w:p>
        </w:tc>
        <w:tc>
          <w:tcPr>
            <w:tcW w:w="216" w:type="dxa"/>
            <w:tcBorders>
              <w:right w:val="single" w:sz="8" w:space="0" w:color="000000"/>
            </w:tcBorders>
            <w:shd w:val="clear" w:color="auto" w:fill="BDD7EE"/>
            <w:tcMar>
              <w:top w:w="0" w:type="dxa"/>
              <w:left w:w="0" w:type="dxa"/>
              <w:bottom w:w="0" w:type="dxa"/>
              <w:right w:w="0" w:type="dxa"/>
            </w:tcMar>
            <w:vAlign w:val="center"/>
          </w:tcPr>
          <w:p w14:paraId="1F72F607" w14:textId="77777777" w:rsidR="002117B2" w:rsidRDefault="002117B2">
            <w:pPr>
              <w:spacing w:after="0"/>
              <w:ind w:left="2" w:right="2"/>
            </w:pPr>
          </w:p>
        </w:tc>
      </w:tr>
      <w:tr w:rsidR="002117B2" w14:paraId="6A9D318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433FA14"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90D89FD" w14:textId="77777777" w:rsidR="002117B2" w:rsidRDefault="00616284">
            <w:pPr>
              <w:spacing w:after="0"/>
              <w:ind w:left="2" w:right="2"/>
            </w:pPr>
            <w:r>
              <w:rPr>
                <w:rFonts w:ascii="Calibri" w:eastAsia="Calibri" w:hAnsi="Calibri" w:cs="Calibri"/>
                <w:color w:val="111111"/>
                <w:sz w:val="18"/>
                <w:szCs w:val="18"/>
              </w:rPr>
              <w:t>Reviewed by (Quality Controller):</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7375A5" w14:textId="77777777" w:rsidR="002117B2" w:rsidRDefault="00616284">
            <w:pPr>
              <w:spacing w:after="0"/>
              <w:ind w:left="2" w:right="2"/>
            </w:pPr>
            <w:r>
              <w:rPr>
                <w:rFonts w:ascii="Calibri" w:eastAsia="Calibri" w:hAnsi="Calibri" w:cs="Calibri"/>
                <w:color w:val="111111"/>
                <w:sz w:val="18"/>
                <w:szCs w:val="18"/>
              </w:rPr>
              <w:t>Chris Dore</w:t>
            </w:r>
          </w:p>
        </w:tc>
        <w:tc>
          <w:tcPr>
            <w:tcW w:w="216" w:type="dxa"/>
            <w:tcBorders>
              <w:right w:val="single" w:sz="8" w:space="0" w:color="000000"/>
            </w:tcBorders>
            <w:shd w:val="clear" w:color="auto" w:fill="BDD7EE"/>
            <w:tcMar>
              <w:top w:w="0" w:type="dxa"/>
              <w:left w:w="0" w:type="dxa"/>
              <w:bottom w:w="0" w:type="dxa"/>
              <w:right w:w="0" w:type="dxa"/>
            </w:tcMar>
            <w:vAlign w:val="center"/>
          </w:tcPr>
          <w:p w14:paraId="73750066" w14:textId="77777777" w:rsidR="002117B2" w:rsidRDefault="002117B2">
            <w:pPr>
              <w:spacing w:after="0"/>
              <w:ind w:left="2" w:right="2"/>
            </w:pPr>
          </w:p>
        </w:tc>
      </w:tr>
      <w:tr w:rsidR="002117B2" w14:paraId="69D977B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B8103CC"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0F7B6C19"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0CEEBD66"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DE49C04"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06421482"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019648B"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5932ED81"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11CE52DF"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34DE2CB"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E025EE9"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4BFFF054"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4B39EA2" w14:textId="77777777" w:rsidR="002117B2" w:rsidRDefault="002117B2">
            <w:pPr>
              <w:spacing w:after="0"/>
              <w:ind w:left="2" w:right="2"/>
            </w:pPr>
          </w:p>
        </w:tc>
      </w:tr>
      <w:tr w:rsidR="002117B2" w14:paraId="08115D9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6D21FD6"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61C40B6" w14:textId="77777777" w:rsidR="002117B2" w:rsidRDefault="00616284">
            <w:pPr>
              <w:spacing w:after="0"/>
              <w:ind w:left="2" w:right="2"/>
            </w:pPr>
            <w:r>
              <w:rPr>
                <w:rFonts w:ascii="Calibri" w:eastAsia="Calibri" w:hAnsi="Calibri" w:cs="Calibri"/>
                <w:color w:val="111111"/>
                <w:sz w:val="18"/>
                <w:szCs w:val="18"/>
              </w:rPr>
              <w:t>The underlying problem:</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EB7C82" w14:textId="77777777" w:rsidR="002117B2" w:rsidRDefault="00616284">
            <w:pPr>
              <w:spacing w:after="0"/>
              <w:ind w:left="2" w:right="2"/>
            </w:pPr>
            <w:r>
              <w:rPr>
                <w:rFonts w:ascii="Calibri" w:eastAsia="Calibri" w:hAnsi="Calibri" w:cs="Calibri"/>
                <w:color w:val="111111"/>
                <w:sz w:val="18"/>
                <w:szCs w:val="18"/>
              </w:rPr>
              <w:t>For 5C2 - Open burning for all years, the  sum of the 4 mandatory PAHs, called "Total 1-4", is not reported in the NFR tables (BaP, BbF, BkF, IndP) despite emissions from each expected PAH species  (BaP, BbF, BkF) being reported. No EF for IndP is provided in the 2019 EMEP/EEA GB.</w:t>
            </w:r>
          </w:p>
        </w:tc>
        <w:tc>
          <w:tcPr>
            <w:tcW w:w="216" w:type="dxa"/>
            <w:tcBorders>
              <w:right w:val="single" w:sz="8" w:space="0" w:color="000000"/>
            </w:tcBorders>
            <w:shd w:val="clear" w:color="auto" w:fill="BDD7EE"/>
            <w:tcMar>
              <w:top w:w="0" w:type="dxa"/>
              <w:left w:w="0" w:type="dxa"/>
              <w:bottom w:w="0" w:type="dxa"/>
              <w:right w:w="0" w:type="dxa"/>
            </w:tcMar>
            <w:vAlign w:val="center"/>
          </w:tcPr>
          <w:p w14:paraId="29143A68" w14:textId="77777777" w:rsidR="002117B2" w:rsidRDefault="002117B2">
            <w:pPr>
              <w:spacing w:after="0"/>
              <w:ind w:left="2" w:right="2"/>
            </w:pPr>
          </w:p>
        </w:tc>
      </w:tr>
      <w:tr w:rsidR="002117B2" w14:paraId="21B0033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D3FE0A4"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699C04E" w14:textId="77777777" w:rsidR="002117B2" w:rsidRDefault="00616284">
            <w:pPr>
              <w:spacing w:after="0"/>
              <w:ind w:left="2" w:right="2"/>
            </w:pPr>
            <w:r>
              <w:rPr>
                <w:rFonts w:ascii="Calibri" w:eastAsia="Calibri" w:hAnsi="Calibri" w:cs="Calibri"/>
                <w:color w:val="111111"/>
                <w:sz w:val="18"/>
                <w:szCs w:val="18"/>
              </w:rPr>
              <w:t>Summarise the methodology used:</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734A2D" w14:textId="77777777" w:rsidR="002117B2" w:rsidRDefault="00616284">
            <w:pPr>
              <w:spacing w:after="0"/>
              <w:ind w:left="2" w:right="2"/>
            </w:pPr>
            <w:r>
              <w:rPr>
                <w:rFonts w:ascii="Calibri" w:eastAsia="Calibri" w:hAnsi="Calibri" w:cs="Calibri"/>
                <w:color w:val="111111"/>
                <w:sz w:val="18"/>
                <w:szCs w:val="18"/>
              </w:rPr>
              <w:t>The sum of the 4 expected PAHs  reported in the NFR tables  used to estimate PAH total.</w:t>
            </w:r>
          </w:p>
        </w:tc>
        <w:tc>
          <w:tcPr>
            <w:tcW w:w="216" w:type="dxa"/>
            <w:tcBorders>
              <w:right w:val="single" w:sz="8" w:space="0" w:color="000000"/>
            </w:tcBorders>
            <w:shd w:val="clear" w:color="auto" w:fill="BDD7EE"/>
            <w:tcMar>
              <w:top w:w="0" w:type="dxa"/>
              <w:left w:w="0" w:type="dxa"/>
              <w:bottom w:w="0" w:type="dxa"/>
              <w:right w:w="0" w:type="dxa"/>
            </w:tcMar>
            <w:vAlign w:val="center"/>
          </w:tcPr>
          <w:p w14:paraId="38F17205" w14:textId="77777777" w:rsidR="002117B2" w:rsidRDefault="002117B2">
            <w:pPr>
              <w:spacing w:after="0"/>
              <w:ind w:left="2" w:right="2"/>
            </w:pPr>
          </w:p>
        </w:tc>
      </w:tr>
      <w:tr w:rsidR="002117B2" w14:paraId="0D61F70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877D67A" w14:textId="77777777" w:rsidR="002117B2" w:rsidRDefault="002117B2">
            <w:pPr>
              <w:spacing w:after="0"/>
              <w:ind w:left="2" w:right="2"/>
              <w:jc w:val="center"/>
            </w:pPr>
          </w:p>
        </w:tc>
        <w:tc>
          <w:tcPr>
            <w:tcW w:w="1008" w:type="dxa"/>
            <w:tcBorders>
              <w:bottom w:val="single" w:sz="8" w:space="0" w:color="000000"/>
            </w:tcBorders>
            <w:shd w:val="clear" w:color="auto" w:fill="BDD7EE"/>
            <w:tcMar>
              <w:top w:w="0" w:type="dxa"/>
              <w:left w:w="0" w:type="dxa"/>
              <w:bottom w:w="0" w:type="dxa"/>
              <w:right w:w="0" w:type="dxa"/>
            </w:tcMar>
            <w:vAlign w:val="center"/>
          </w:tcPr>
          <w:p w14:paraId="286BF870"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5126ACBD"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53BDB683"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300F8FFD"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6013B2ED"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6EC41C04"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7473B132"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1561D329"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64EE9972"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3081842E"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73B8A369" w14:textId="77777777" w:rsidR="002117B2" w:rsidRDefault="002117B2">
            <w:pPr>
              <w:spacing w:after="0"/>
              <w:ind w:left="2" w:right="2"/>
            </w:pPr>
          </w:p>
        </w:tc>
      </w:tr>
      <w:tr w:rsidR="002117B2" w14:paraId="7F2ADE46"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24E48AC" w14:textId="77777777" w:rsidR="002117B2" w:rsidRDefault="00616284">
            <w:pPr>
              <w:spacing w:after="0"/>
              <w:ind w:left="2" w:right="2"/>
              <w:jc w:val="center"/>
            </w:pPr>
            <w:r>
              <w:rPr>
                <w:rFonts w:ascii="Calibri" w:eastAsia="Calibri" w:hAnsi="Calibri" w:cs="Calibri"/>
                <w:b/>
                <w:color w:val="FFFFFF"/>
                <w:sz w:val="18"/>
                <w:szCs w:val="18"/>
              </w:rPr>
              <w:t>2</w:t>
            </w:r>
          </w:p>
        </w:tc>
        <w:tc>
          <w:tcPr>
            <w:tcW w:w="9144" w:type="dxa"/>
            <w:gridSpan w:val="11"/>
            <w:tcBorders>
              <w:top w:val="single" w:sz="8" w:space="0" w:color="000000"/>
            </w:tcBorders>
            <w:shd w:val="clear" w:color="auto" w:fill="BDD7EE"/>
            <w:tcMar>
              <w:top w:w="0" w:type="dxa"/>
              <w:left w:w="0" w:type="dxa"/>
              <w:bottom w:w="0" w:type="dxa"/>
              <w:right w:w="0" w:type="dxa"/>
            </w:tcMar>
            <w:vAlign w:val="center"/>
          </w:tcPr>
          <w:p w14:paraId="10469766" w14:textId="77777777" w:rsidR="002117B2" w:rsidRDefault="00616284">
            <w:pPr>
              <w:spacing w:after="0"/>
              <w:ind w:left="2" w:right="2"/>
            </w:pPr>
            <w:r>
              <w:rPr>
                <w:rFonts w:ascii="Calibri" w:eastAsia="Calibri" w:hAnsi="Calibri" w:cs="Calibri"/>
                <w:b/>
                <w:color w:val="111111"/>
                <w:sz w:val="18"/>
                <w:szCs w:val="18"/>
              </w:rPr>
              <w:t>Details of the corrected estimate</w:t>
            </w:r>
          </w:p>
        </w:tc>
      </w:tr>
      <w:tr w:rsidR="002117B2" w14:paraId="5E57361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A9E1972"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0E42E131"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6C5BFCF" w14:textId="77777777" w:rsidR="002117B2" w:rsidRDefault="00616284">
            <w:pPr>
              <w:spacing w:after="0"/>
              <w:ind w:left="2" w:right="2"/>
              <w:jc w:val="center"/>
            </w:pPr>
            <w:r>
              <w:rPr>
                <w:rFonts w:ascii="Calibri" w:eastAsia="Calibri" w:hAnsi="Calibri" w:cs="Calibri"/>
                <w:b/>
                <w:color w:val="111111"/>
                <w:sz w:val="18"/>
                <w:szCs w:val="18"/>
              </w:rPr>
              <w:t>Original Estimate</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B5C4C14"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7EDF79F9" w14:textId="77777777" w:rsidR="002117B2" w:rsidRDefault="002117B2">
            <w:pPr>
              <w:spacing w:after="0"/>
              <w:ind w:left="2" w:right="2"/>
              <w:jc w:val="center"/>
            </w:pPr>
          </w:p>
        </w:tc>
      </w:tr>
      <w:tr w:rsidR="002117B2" w14:paraId="70CA7B2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2C2510A"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3ABDA2F"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2DDDF9D"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4D8801F"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0B8094B"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F494887"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9704B6A"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40A22C3"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3E452FA"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9502D3E" w14:textId="77777777" w:rsidR="002117B2" w:rsidRDefault="00616284">
            <w:pPr>
              <w:spacing w:after="0"/>
              <w:ind w:left="2" w:right="2"/>
              <w:jc w:val="center"/>
            </w:pPr>
            <w:r>
              <w:rPr>
                <w:rFonts w:ascii="Calibri" w:eastAsia="Calibri" w:hAnsi="Calibri" w:cs="Calibri"/>
                <w:color w:val="111111"/>
                <w:sz w:val="18"/>
                <w:szCs w:val="18"/>
              </w:rPr>
              <w:t>PCBs (kg)</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3E476FF"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0EB5D574" w14:textId="77777777" w:rsidR="002117B2" w:rsidRDefault="002117B2">
            <w:pPr>
              <w:spacing w:after="0"/>
              <w:ind w:left="2" w:right="2"/>
              <w:jc w:val="center"/>
            </w:pPr>
          </w:p>
        </w:tc>
      </w:tr>
      <w:tr w:rsidR="002117B2" w14:paraId="390CD0F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2E4B52F"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B079056"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38F8E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B2731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F60EC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A19E7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4921A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9D0F7C" w14:textId="77777777" w:rsidR="002117B2" w:rsidRDefault="00616284">
            <w:pPr>
              <w:spacing w:after="0"/>
              <w:ind w:left="2" w:right="2"/>
            </w:pPr>
            <w:r>
              <w:rPr>
                <w:rFonts w:ascii="Calibri" w:eastAsia="Calibri" w:hAnsi="Calibri" w:cs="Calibri"/>
                <w:color w:val="111111"/>
                <w:sz w:val="18"/>
                <w:szCs w:val="18"/>
              </w:rPr>
              <w:t>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67DFA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FB5705"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461662"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CD596F3" w14:textId="77777777" w:rsidR="002117B2" w:rsidRDefault="002117B2">
            <w:pPr>
              <w:spacing w:after="0"/>
              <w:ind w:left="2" w:right="2"/>
            </w:pPr>
          </w:p>
        </w:tc>
      </w:tr>
      <w:tr w:rsidR="002117B2" w14:paraId="34F32BA8"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BB8F0F7"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10102C8"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D47E5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FF6E4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35724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6CFBC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031AA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21E544" w14:textId="77777777" w:rsidR="002117B2" w:rsidRDefault="00616284">
            <w:pPr>
              <w:spacing w:after="0"/>
              <w:ind w:left="2" w:right="2"/>
            </w:pPr>
            <w:r>
              <w:rPr>
                <w:rFonts w:ascii="Calibri" w:eastAsia="Calibri" w:hAnsi="Calibri" w:cs="Calibri"/>
                <w:color w:val="111111"/>
                <w:sz w:val="18"/>
                <w:szCs w:val="18"/>
              </w:rPr>
              <w:t>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65137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A83A5B"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D3A095"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5C440B4" w14:textId="77777777" w:rsidR="002117B2" w:rsidRDefault="002117B2">
            <w:pPr>
              <w:spacing w:after="0"/>
              <w:ind w:left="2" w:right="2"/>
            </w:pPr>
          </w:p>
        </w:tc>
      </w:tr>
      <w:tr w:rsidR="002117B2" w14:paraId="2376CC6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FDEA5F1"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B910D8E"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C1D5E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38E10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1DB40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8FDB9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E7028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598986" w14:textId="77777777" w:rsidR="002117B2" w:rsidRDefault="00616284">
            <w:pPr>
              <w:spacing w:after="0"/>
              <w:ind w:left="2" w:right="2"/>
            </w:pPr>
            <w:r>
              <w:rPr>
                <w:rFonts w:ascii="Calibri" w:eastAsia="Calibri" w:hAnsi="Calibri" w:cs="Calibri"/>
                <w:color w:val="111111"/>
                <w:sz w:val="18"/>
                <w:szCs w:val="18"/>
              </w:rPr>
              <w:t>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FDE39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12340A"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631EFA"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4A83143" w14:textId="77777777" w:rsidR="002117B2" w:rsidRDefault="002117B2">
            <w:pPr>
              <w:spacing w:after="0"/>
              <w:ind w:left="2" w:right="2"/>
            </w:pPr>
          </w:p>
        </w:tc>
      </w:tr>
      <w:tr w:rsidR="002117B2" w14:paraId="0CE665EA"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F8B7471"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3FEC64D"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0A5B1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55DA3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A0A3A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B22DC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941B4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E6DAF8" w14:textId="77777777" w:rsidR="002117B2" w:rsidRDefault="00616284">
            <w:pPr>
              <w:spacing w:after="0"/>
              <w:ind w:left="2" w:right="2"/>
            </w:pPr>
            <w:r>
              <w:rPr>
                <w:rFonts w:ascii="Calibri" w:eastAsia="Calibri" w:hAnsi="Calibri" w:cs="Calibri"/>
                <w:color w:val="111111"/>
                <w:sz w:val="18"/>
                <w:szCs w:val="18"/>
              </w:rPr>
              <w:t>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6B18B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9FD5EF"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DF072B"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0222D231" w14:textId="77777777" w:rsidR="002117B2" w:rsidRDefault="002117B2">
            <w:pPr>
              <w:spacing w:after="0"/>
              <w:ind w:left="2" w:right="2"/>
            </w:pPr>
          </w:p>
        </w:tc>
      </w:tr>
      <w:tr w:rsidR="002117B2" w14:paraId="3443965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DE079C1"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7ABD758"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71077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371D9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76214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E6DC2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98DC0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3E9952" w14:textId="77777777" w:rsidR="002117B2" w:rsidRDefault="00616284">
            <w:pPr>
              <w:spacing w:after="0"/>
              <w:ind w:left="2" w:right="2"/>
            </w:pPr>
            <w:r>
              <w:rPr>
                <w:rFonts w:ascii="Calibri" w:eastAsia="Calibri" w:hAnsi="Calibri" w:cs="Calibri"/>
                <w:color w:val="111111"/>
                <w:sz w:val="18"/>
                <w:szCs w:val="18"/>
              </w:rPr>
              <w:t>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8C93E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134987"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F8B1DD"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FCC1B63" w14:textId="77777777" w:rsidR="002117B2" w:rsidRDefault="002117B2">
            <w:pPr>
              <w:spacing w:after="0"/>
              <w:ind w:left="2" w:right="2"/>
            </w:pPr>
          </w:p>
        </w:tc>
      </w:tr>
      <w:tr w:rsidR="002117B2" w14:paraId="7976A00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FEB195E"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1938E080"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6094E91"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1E17CFC5"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128A69CC"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6309778C"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7D3C17CA"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056989BC"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CD5B3C2"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6D5DF7BC"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48F5D478"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9E4CC19" w14:textId="77777777" w:rsidR="002117B2" w:rsidRDefault="002117B2">
            <w:pPr>
              <w:spacing w:after="0"/>
              <w:ind w:left="2" w:right="2"/>
            </w:pPr>
          </w:p>
        </w:tc>
      </w:tr>
      <w:tr w:rsidR="002117B2" w14:paraId="6D09DF9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6E5977D"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40F16EC0"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9329B83" w14:textId="77777777" w:rsidR="002117B2" w:rsidRDefault="00616284">
            <w:pPr>
              <w:spacing w:after="0"/>
              <w:ind w:left="2" w:right="2"/>
              <w:jc w:val="center"/>
            </w:pPr>
            <w:r>
              <w:rPr>
                <w:rFonts w:ascii="Calibri" w:eastAsia="Calibri" w:hAnsi="Calibri" w:cs="Calibri"/>
                <w:b/>
                <w:color w:val="111111"/>
                <w:sz w:val="18"/>
                <w:szCs w:val="18"/>
              </w:rPr>
              <w:t>Technical Correction calculated by the TERT</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584A94F"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7D6028CB" w14:textId="77777777" w:rsidR="002117B2" w:rsidRDefault="002117B2">
            <w:pPr>
              <w:spacing w:after="0"/>
              <w:ind w:left="2" w:right="2"/>
              <w:jc w:val="center"/>
            </w:pPr>
          </w:p>
        </w:tc>
      </w:tr>
      <w:tr w:rsidR="002117B2" w14:paraId="0968FE78"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ED2A634"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23EDB5A"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071E9F5"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D2922D0"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E2951FD"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23B3B3D"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55C7551"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70D7C52"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B670BBD"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B3A231C" w14:textId="77777777" w:rsidR="002117B2" w:rsidRDefault="00616284">
            <w:pPr>
              <w:spacing w:after="0"/>
              <w:ind w:left="2" w:right="2"/>
              <w:jc w:val="center"/>
            </w:pPr>
            <w:r>
              <w:rPr>
                <w:rFonts w:ascii="Calibri" w:eastAsia="Calibri" w:hAnsi="Calibri" w:cs="Calibri"/>
                <w:color w:val="111111"/>
                <w:sz w:val="18"/>
                <w:szCs w:val="18"/>
              </w:rPr>
              <w:t>PCBs (kg)</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061ADA7"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6E4FE09E" w14:textId="77777777" w:rsidR="002117B2" w:rsidRDefault="002117B2">
            <w:pPr>
              <w:spacing w:after="0"/>
              <w:ind w:left="2" w:right="2"/>
              <w:jc w:val="center"/>
            </w:pPr>
          </w:p>
        </w:tc>
      </w:tr>
      <w:tr w:rsidR="002117B2" w14:paraId="5CDBBF4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BF6F8D2"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CB43EBE"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D7F08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33BF2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3990B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7189E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C36F0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865346" w14:textId="77777777" w:rsidR="002117B2" w:rsidRDefault="00616284">
            <w:pPr>
              <w:spacing w:after="0"/>
              <w:ind w:left="2" w:right="2"/>
            </w:pPr>
            <w:r>
              <w:rPr>
                <w:rFonts w:ascii="Calibri" w:eastAsia="Calibri" w:hAnsi="Calibri" w:cs="Calibri"/>
                <w:color w:val="111111"/>
                <w:sz w:val="18"/>
                <w:szCs w:val="18"/>
              </w:rPr>
              <w:t>0.664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35A36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CBAEAB"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F8ABB1"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3DF6968" w14:textId="77777777" w:rsidR="002117B2" w:rsidRDefault="002117B2">
            <w:pPr>
              <w:spacing w:after="0"/>
              <w:ind w:left="2" w:right="2"/>
            </w:pPr>
          </w:p>
        </w:tc>
      </w:tr>
      <w:tr w:rsidR="002117B2" w14:paraId="1E774E9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544FFD8"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317FC80"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3E9E3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490E4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B5B9B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A1BDD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FC318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04D4C5" w14:textId="77777777" w:rsidR="002117B2" w:rsidRDefault="00616284">
            <w:pPr>
              <w:spacing w:after="0"/>
              <w:ind w:left="2" w:right="2"/>
            </w:pPr>
            <w:r>
              <w:rPr>
                <w:rFonts w:ascii="Calibri" w:eastAsia="Calibri" w:hAnsi="Calibri" w:cs="Calibri"/>
                <w:color w:val="111111"/>
                <w:sz w:val="18"/>
                <w:szCs w:val="18"/>
              </w:rPr>
              <w:t>0.565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63636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E95E74"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D96189"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77F6CA1" w14:textId="77777777" w:rsidR="002117B2" w:rsidRDefault="002117B2">
            <w:pPr>
              <w:spacing w:after="0"/>
              <w:ind w:left="2" w:right="2"/>
            </w:pPr>
          </w:p>
        </w:tc>
      </w:tr>
      <w:tr w:rsidR="002117B2" w14:paraId="0F4ACE8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20F5C49"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2543D68"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C46CE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9408D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23B57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F540C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C365D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25E277" w14:textId="77777777" w:rsidR="002117B2" w:rsidRDefault="00616284">
            <w:pPr>
              <w:spacing w:after="0"/>
              <w:ind w:left="2" w:right="2"/>
            </w:pPr>
            <w:r>
              <w:rPr>
                <w:rFonts w:ascii="Calibri" w:eastAsia="Calibri" w:hAnsi="Calibri" w:cs="Calibri"/>
                <w:color w:val="111111"/>
                <w:sz w:val="18"/>
                <w:szCs w:val="18"/>
              </w:rPr>
              <w:t>0.665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6D931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B1E653"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DDE4E2"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6A266B4" w14:textId="77777777" w:rsidR="002117B2" w:rsidRDefault="002117B2">
            <w:pPr>
              <w:spacing w:after="0"/>
              <w:ind w:left="2" w:right="2"/>
            </w:pPr>
          </w:p>
        </w:tc>
      </w:tr>
      <w:tr w:rsidR="002117B2" w14:paraId="106FBA0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3E0C670"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1298A89"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B4670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E29A9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52760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86506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C6FD7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F6C912" w14:textId="77777777" w:rsidR="002117B2" w:rsidRDefault="00616284">
            <w:pPr>
              <w:spacing w:after="0"/>
              <w:ind w:left="2" w:right="2"/>
            </w:pPr>
            <w:r>
              <w:rPr>
                <w:rFonts w:ascii="Calibri" w:eastAsia="Calibri" w:hAnsi="Calibri" w:cs="Calibri"/>
                <w:color w:val="111111"/>
                <w:sz w:val="18"/>
                <w:szCs w:val="18"/>
              </w:rPr>
              <w:t>0.650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8CA7B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0AA15F"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DD9273"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F4836EA" w14:textId="77777777" w:rsidR="002117B2" w:rsidRDefault="002117B2">
            <w:pPr>
              <w:spacing w:after="0"/>
              <w:ind w:left="2" w:right="2"/>
            </w:pPr>
          </w:p>
        </w:tc>
      </w:tr>
      <w:tr w:rsidR="002117B2" w14:paraId="38E257F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93F69BE"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0C86C67"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F35EB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86891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47576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F099D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4B2A1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99C144" w14:textId="77777777" w:rsidR="002117B2" w:rsidRDefault="00616284">
            <w:pPr>
              <w:spacing w:after="0"/>
              <w:ind w:left="2" w:right="2"/>
            </w:pPr>
            <w:r>
              <w:rPr>
                <w:rFonts w:ascii="Calibri" w:eastAsia="Calibri" w:hAnsi="Calibri" w:cs="Calibri"/>
                <w:color w:val="111111"/>
                <w:sz w:val="18"/>
                <w:szCs w:val="18"/>
              </w:rPr>
              <w:t>0.643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98278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31D12B"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323829"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0A1590F" w14:textId="77777777" w:rsidR="002117B2" w:rsidRDefault="002117B2">
            <w:pPr>
              <w:spacing w:after="0"/>
              <w:ind w:left="2" w:right="2"/>
            </w:pPr>
          </w:p>
        </w:tc>
      </w:tr>
      <w:tr w:rsidR="002117B2" w14:paraId="7372B24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E554518"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08488390"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60EBD69F"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52956B26"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93C8565"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1D63F72"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034CC465"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3171136"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16FC1924"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605D405C"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747AF1CB"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B9AF9ED" w14:textId="77777777" w:rsidR="002117B2" w:rsidRDefault="002117B2">
            <w:pPr>
              <w:spacing w:after="0"/>
              <w:ind w:left="2" w:right="2"/>
            </w:pPr>
          </w:p>
        </w:tc>
      </w:tr>
      <w:tr w:rsidR="002117B2" w14:paraId="0579857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22DCB40"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01DB0323"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A14019F" w14:textId="77777777" w:rsidR="002117B2" w:rsidRDefault="00616284">
            <w:pPr>
              <w:spacing w:after="0"/>
              <w:ind w:left="2" w:right="2"/>
              <w:jc w:val="center"/>
            </w:pPr>
            <w:r>
              <w:rPr>
                <w:rFonts w:ascii="Calibri" w:eastAsia="Calibri" w:hAnsi="Calibri" w:cs="Calibri"/>
                <w:b/>
                <w:color w:val="111111"/>
                <w:sz w:val="18"/>
                <w:szCs w:val="18"/>
              </w:rPr>
              <w:t>Difference between Original Estimate and Technical Correction</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C8F1B89"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19204165" w14:textId="77777777" w:rsidR="002117B2" w:rsidRDefault="002117B2">
            <w:pPr>
              <w:spacing w:after="0"/>
              <w:ind w:left="2" w:right="2"/>
              <w:jc w:val="center"/>
            </w:pPr>
          </w:p>
        </w:tc>
      </w:tr>
      <w:tr w:rsidR="002117B2" w14:paraId="79FCD5C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2016ABD"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B68A5F5"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8B384EA"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9FEE7D7"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310ECFC"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B605D22"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AE1B62C"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0168123"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A64FCAD"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F3E2DF8" w14:textId="77777777" w:rsidR="002117B2" w:rsidRDefault="00616284">
            <w:pPr>
              <w:spacing w:after="0"/>
              <w:ind w:left="2" w:right="2"/>
              <w:jc w:val="center"/>
            </w:pPr>
            <w:r>
              <w:rPr>
                <w:rFonts w:ascii="Calibri" w:eastAsia="Calibri" w:hAnsi="Calibri" w:cs="Calibri"/>
                <w:color w:val="111111"/>
                <w:sz w:val="18"/>
                <w:szCs w:val="18"/>
              </w:rPr>
              <w:t>PCBs (kg)</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F767AFA"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2F58BAA3" w14:textId="77777777" w:rsidR="002117B2" w:rsidRDefault="002117B2">
            <w:pPr>
              <w:spacing w:after="0"/>
              <w:ind w:left="2" w:right="2"/>
              <w:jc w:val="center"/>
            </w:pPr>
          </w:p>
        </w:tc>
      </w:tr>
      <w:tr w:rsidR="002117B2" w14:paraId="70CDF9D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3A14572"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CF21BD5"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225FC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C0D48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A6B96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2292C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64F21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A95A57" w14:textId="77777777" w:rsidR="002117B2" w:rsidRDefault="00616284">
            <w:pPr>
              <w:spacing w:after="0"/>
              <w:ind w:left="2" w:right="2"/>
            </w:pPr>
            <w:r>
              <w:rPr>
                <w:rFonts w:ascii="Calibri" w:eastAsia="Calibri" w:hAnsi="Calibri" w:cs="Calibri"/>
                <w:color w:val="111111"/>
                <w:sz w:val="18"/>
                <w:szCs w:val="18"/>
              </w:rPr>
              <w:t>0.664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FB959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A6C7D5"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4CE12B"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D66EE39" w14:textId="77777777" w:rsidR="002117B2" w:rsidRDefault="002117B2">
            <w:pPr>
              <w:spacing w:after="0"/>
              <w:ind w:left="2" w:right="2"/>
            </w:pPr>
          </w:p>
        </w:tc>
      </w:tr>
      <w:tr w:rsidR="002117B2" w14:paraId="02DA73C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8F5C82E"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80D4CEC"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4CED2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31B3F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D23F0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C80AC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51CF4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89BB1F" w14:textId="77777777" w:rsidR="002117B2" w:rsidRDefault="00616284">
            <w:pPr>
              <w:spacing w:after="0"/>
              <w:ind w:left="2" w:right="2"/>
            </w:pPr>
            <w:r>
              <w:rPr>
                <w:rFonts w:ascii="Calibri" w:eastAsia="Calibri" w:hAnsi="Calibri" w:cs="Calibri"/>
                <w:color w:val="111111"/>
                <w:sz w:val="18"/>
                <w:szCs w:val="18"/>
              </w:rPr>
              <w:t>0.565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DC766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B7BEC3"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1E1B3A"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607587D" w14:textId="77777777" w:rsidR="002117B2" w:rsidRDefault="002117B2">
            <w:pPr>
              <w:spacing w:after="0"/>
              <w:ind w:left="2" w:right="2"/>
            </w:pPr>
          </w:p>
        </w:tc>
      </w:tr>
      <w:tr w:rsidR="002117B2" w14:paraId="4AD1444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1984DE5"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AF1114E"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318FE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6ACEC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8BD97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23CD3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85201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2CA2B0" w14:textId="77777777" w:rsidR="002117B2" w:rsidRDefault="00616284">
            <w:pPr>
              <w:spacing w:after="0"/>
              <w:ind w:left="2" w:right="2"/>
            </w:pPr>
            <w:r>
              <w:rPr>
                <w:rFonts w:ascii="Calibri" w:eastAsia="Calibri" w:hAnsi="Calibri" w:cs="Calibri"/>
                <w:color w:val="111111"/>
                <w:sz w:val="18"/>
                <w:szCs w:val="18"/>
              </w:rPr>
              <w:t>0.665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6A2AB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F5237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5E7189"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2365E6D" w14:textId="77777777" w:rsidR="002117B2" w:rsidRDefault="002117B2">
            <w:pPr>
              <w:spacing w:after="0"/>
              <w:ind w:left="2" w:right="2"/>
            </w:pPr>
          </w:p>
        </w:tc>
      </w:tr>
      <w:tr w:rsidR="002117B2" w14:paraId="638648B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93538F9"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9D798D9"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0FA85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BA77A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8C741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4F7CD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74103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9E7029" w14:textId="77777777" w:rsidR="002117B2" w:rsidRDefault="00616284">
            <w:pPr>
              <w:spacing w:after="0"/>
              <w:ind w:left="2" w:right="2"/>
            </w:pPr>
            <w:r>
              <w:rPr>
                <w:rFonts w:ascii="Calibri" w:eastAsia="Calibri" w:hAnsi="Calibri" w:cs="Calibri"/>
                <w:color w:val="111111"/>
                <w:sz w:val="18"/>
                <w:szCs w:val="18"/>
              </w:rPr>
              <w:t>0.650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41A37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2A075D"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697EE2"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F3586EF" w14:textId="77777777" w:rsidR="002117B2" w:rsidRDefault="002117B2">
            <w:pPr>
              <w:spacing w:after="0"/>
              <w:ind w:left="2" w:right="2"/>
            </w:pPr>
          </w:p>
        </w:tc>
      </w:tr>
      <w:tr w:rsidR="002117B2" w14:paraId="04928C8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19FFEFA"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20591A3"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B10BB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1BE5E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4F375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09EFF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4708B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26C468" w14:textId="77777777" w:rsidR="002117B2" w:rsidRDefault="00616284">
            <w:pPr>
              <w:spacing w:after="0"/>
              <w:ind w:left="2" w:right="2"/>
            </w:pPr>
            <w:r>
              <w:rPr>
                <w:rFonts w:ascii="Calibri" w:eastAsia="Calibri" w:hAnsi="Calibri" w:cs="Calibri"/>
                <w:color w:val="111111"/>
                <w:sz w:val="18"/>
                <w:szCs w:val="18"/>
              </w:rPr>
              <w:t>0.643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496E6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1DF841"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C9B959"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FD835BD" w14:textId="77777777" w:rsidR="002117B2" w:rsidRDefault="002117B2">
            <w:pPr>
              <w:spacing w:after="0"/>
              <w:ind w:left="2" w:right="2"/>
            </w:pPr>
          </w:p>
        </w:tc>
      </w:tr>
      <w:tr w:rsidR="002117B2" w14:paraId="626ACC4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525A3A3" w14:textId="77777777" w:rsidR="002117B2" w:rsidRDefault="002117B2">
            <w:pPr>
              <w:spacing w:after="0"/>
              <w:ind w:left="2" w:right="2"/>
              <w:jc w:val="center"/>
            </w:pPr>
          </w:p>
        </w:tc>
        <w:tc>
          <w:tcPr>
            <w:tcW w:w="1008" w:type="dxa"/>
            <w:tcBorders>
              <w:bottom w:val="single" w:sz="8" w:space="0" w:color="000000"/>
            </w:tcBorders>
            <w:shd w:val="clear" w:color="auto" w:fill="BDD7EE"/>
            <w:tcMar>
              <w:top w:w="0" w:type="dxa"/>
              <w:left w:w="0" w:type="dxa"/>
              <w:bottom w:w="0" w:type="dxa"/>
              <w:right w:w="0" w:type="dxa"/>
            </w:tcMar>
            <w:vAlign w:val="center"/>
          </w:tcPr>
          <w:p w14:paraId="1003451D"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687F130B"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6E0A7EF6"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23B587C6"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062679B2"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0D174F13"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52414239"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2C9678FF"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23ACA4E2"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313E2833"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38990BE9" w14:textId="77777777" w:rsidR="002117B2" w:rsidRDefault="002117B2">
            <w:pPr>
              <w:spacing w:after="0"/>
              <w:ind w:left="2" w:right="2"/>
            </w:pPr>
          </w:p>
        </w:tc>
      </w:tr>
    </w:tbl>
    <w:p w14:paraId="362A8E97" w14:textId="77777777" w:rsidR="002117B2" w:rsidRDefault="00616284">
      <w:r>
        <w:br w:type="page"/>
      </w:r>
    </w:p>
    <w:tbl>
      <w:tblPr>
        <w:tblW w:w="9360" w:type="dxa"/>
        <w:jc w:val="center"/>
        <w:tblLayout w:type="fixed"/>
        <w:tblLook w:val="0420" w:firstRow="1" w:lastRow="0" w:firstColumn="0" w:lastColumn="0" w:noHBand="0" w:noVBand="1"/>
      </w:tblPr>
      <w:tblGrid>
        <w:gridCol w:w="216"/>
        <w:gridCol w:w="1008"/>
        <w:gridCol w:w="756"/>
        <w:gridCol w:w="756"/>
        <w:gridCol w:w="756"/>
        <w:gridCol w:w="756"/>
        <w:gridCol w:w="756"/>
        <w:gridCol w:w="756"/>
        <w:gridCol w:w="756"/>
        <w:gridCol w:w="756"/>
        <w:gridCol w:w="1872"/>
        <w:gridCol w:w="216"/>
      </w:tblGrid>
      <w:tr w:rsidR="002117B2" w14:paraId="0B41564B"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9ACFA72" w14:textId="77777777" w:rsidR="002117B2" w:rsidRDefault="00616284">
            <w:pPr>
              <w:spacing w:after="0"/>
              <w:ind w:left="2" w:right="2"/>
              <w:jc w:val="center"/>
            </w:pPr>
            <w:r>
              <w:rPr>
                <w:rFonts w:ascii="Calibri" w:eastAsia="Calibri" w:hAnsi="Calibri" w:cs="Calibri"/>
                <w:b/>
                <w:color w:val="FFFFFF"/>
                <w:sz w:val="18"/>
                <w:szCs w:val="18"/>
              </w:rPr>
              <w:t>1</w:t>
            </w:r>
          </w:p>
        </w:tc>
        <w:tc>
          <w:tcPr>
            <w:tcW w:w="1008" w:type="dxa"/>
            <w:tcBorders>
              <w:top w:val="single" w:sz="8" w:space="0" w:color="000000"/>
            </w:tcBorders>
            <w:shd w:val="clear" w:color="auto" w:fill="BDD7EE"/>
            <w:tcMar>
              <w:top w:w="0" w:type="dxa"/>
              <w:left w:w="0" w:type="dxa"/>
              <w:bottom w:w="0" w:type="dxa"/>
              <w:right w:w="0" w:type="dxa"/>
            </w:tcMar>
            <w:vAlign w:val="center"/>
          </w:tcPr>
          <w:p w14:paraId="1C1094C0"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4327391B"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52C692DB"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26FCB16E"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472F8295"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04B15BC2"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2319DBD9"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3213DA6A"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3EAEF265" w14:textId="77777777" w:rsidR="002117B2" w:rsidRDefault="002117B2">
            <w:pPr>
              <w:spacing w:after="0"/>
              <w:ind w:left="2" w:right="2"/>
            </w:pPr>
          </w:p>
        </w:tc>
        <w:tc>
          <w:tcPr>
            <w:tcW w:w="1872" w:type="dxa"/>
            <w:tcBorders>
              <w:top w:val="single" w:sz="8" w:space="0" w:color="000000"/>
            </w:tcBorders>
            <w:shd w:val="clear" w:color="auto" w:fill="BDD7EE"/>
            <w:tcMar>
              <w:top w:w="0" w:type="dxa"/>
              <w:left w:w="0" w:type="dxa"/>
              <w:bottom w:w="0" w:type="dxa"/>
              <w:right w:w="0" w:type="dxa"/>
            </w:tcMar>
            <w:vAlign w:val="center"/>
          </w:tcPr>
          <w:p w14:paraId="5895D705" w14:textId="77777777" w:rsidR="002117B2" w:rsidRDefault="002117B2">
            <w:pPr>
              <w:spacing w:after="0"/>
              <w:ind w:left="2" w:right="2"/>
            </w:pPr>
          </w:p>
        </w:tc>
        <w:tc>
          <w:tcPr>
            <w:tcW w:w="216" w:type="dxa"/>
            <w:tcBorders>
              <w:top w:val="single" w:sz="8" w:space="0" w:color="000000"/>
              <w:right w:val="single" w:sz="8" w:space="0" w:color="000000"/>
            </w:tcBorders>
            <w:shd w:val="clear" w:color="auto" w:fill="BDD7EE"/>
            <w:tcMar>
              <w:top w:w="0" w:type="dxa"/>
              <w:left w:w="0" w:type="dxa"/>
              <w:bottom w:w="0" w:type="dxa"/>
              <w:right w:w="0" w:type="dxa"/>
            </w:tcMar>
            <w:vAlign w:val="center"/>
          </w:tcPr>
          <w:p w14:paraId="0766BBDA" w14:textId="77777777" w:rsidR="002117B2" w:rsidRDefault="002117B2">
            <w:pPr>
              <w:spacing w:after="0"/>
              <w:ind w:left="2" w:right="2"/>
            </w:pPr>
          </w:p>
        </w:tc>
      </w:tr>
      <w:tr w:rsidR="002117B2" w14:paraId="3AB33B7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4982248"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B681659" w14:textId="77777777" w:rsidR="002117B2" w:rsidRDefault="00616284">
            <w:pPr>
              <w:spacing w:after="0"/>
              <w:ind w:left="2" w:right="2"/>
            </w:pPr>
            <w:r>
              <w:rPr>
                <w:rFonts w:ascii="Calibri" w:eastAsia="Calibri" w:hAnsi="Calibri" w:cs="Calibri"/>
                <w:color w:val="111111"/>
                <w:sz w:val="18"/>
                <w:szCs w:val="18"/>
              </w:rPr>
              <w:t>EMRT ID:</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2E2748" w14:textId="77777777" w:rsidR="002117B2" w:rsidRDefault="00616284">
            <w:pPr>
              <w:spacing w:after="0"/>
              <w:ind w:left="2" w:right="2"/>
            </w:pPr>
            <w:r>
              <w:rPr>
                <w:rFonts w:ascii="Calibri" w:eastAsia="Calibri" w:hAnsi="Calibri" w:cs="Calibri"/>
                <w:color w:val="111111"/>
                <w:sz w:val="18"/>
                <w:szCs w:val="18"/>
              </w:rPr>
              <w:t>LT-1A3bvi-2018-0002</w:t>
            </w:r>
          </w:p>
        </w:tc>
        <w:tc>
          <w:tcPr>
            <w:tcW w:w="216" w:type="dxa"/>
            <w:tcBorders>
              <w:right w:val="single" w:sz="8" w:space="0" w:color="000000"/>
            </w:tcBorders>
            <w:shd w:val="clear" w:color="auto" w:fill="BDD7EE"/>
            <w:tcMar>
              <w:top w:w="0" w:type="dxa"/>
              <w:left w:w="0" w:type="dxa"/>
              <w:bottom w:w="0" w:type="dxa"/>
              <w:right w:w="0" w:type="dxa"/>
            </w:tcMar>
            <w:vAlign w:val="center"/>
          </w:tcPr>
          <w:p w14:paraId="3CA5AB8E" w14:textId="77777777" w:rsidR="002117B2" w:rsidRDefault="002117B2">
            <w:pPr>
              <w:spacing w:after="0"/>
              <w:ind w:left="2" w:right="2"/>
            </w:pPr>
          </w:p>
        </w:tc>
      </w:tr>
      <w:tr w:rsidR="002117B2" w14:paraId="2557661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8FDAFCF"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74E4EAD" w14:textId="77777777" w:rsidR="002117B2" w:rsidRDefault="00616284">
            <w:pPr>
              <w:spacing w:after="0"/>
              <w:ind w:left="2" w:right="2"/>
            </w:pPr>
            <w:r>
              <w:rPr>
                <w:rFonts w:ascii="Calibri" w:eastAsia="Calibri" w:hAnsi="Calibri" w:cs="Calibri"/>
                <w:color w:val="111111"/>
                <w:sz w:val="18"/>
                <w:szCs w:val="18"/>
              </w:rPr>
              <w:t>EMRT URL:</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2CF858" w14:textId="77777777" w:rsidR="002117B2" w:rsidRDefault="00616284">
            <w:pPr>
              <w:spacing w:after="0"/>
              <w:ind w:left="2" w:right="2"/>
            </w:pPr>
            <w:r>
              <w:rPr>
                <w:rFonts w:ascii="Calibri" w:eastAsia="Calibri" w:hAnsi="Calibri" w:cs="Calibri"/>
                <w:color w:val="111111"/>
                <w:sz w:val="18"/>
                <w:szCs w:val="18"/>
              </w:rPr>
              <w:t>https://emrt-necd.eionet.europa.eu/2020/LT-1A3bvi-2018-0002</w:t>
            </w:r>
          </w:p>
        </w:tc>
        <w:tc>
          <w:tcPr>
            <w:tcW w:w="216" w:type="dxa"/>
            <w:tcBorders>
              <w:right w:val="single" w:sz="8" w:space="0" w:color="000000"/>
            </w:tcBorders>
            <w:shd w:val="clear" w:color="auto" w:fill="BDD7EE"/>
            <w:tcMar>
              <w:top w:w="0" w:type="dxa"/>
              <w:left w:w="0" w:type="dxa"/>
              <w:bottom w:w="0" w:type="dxa"/>
              <w:right w:w="0" w:type="dxa"/>
            </w:tcMar>
            <w:vAlign w:val="center"/>
          </w:tcPr>
          <w:p w14:paraId="72403C54" w14:textId="77777777" w:rsidR="002117B2" w:rsidRDefault="002117B2">
            <w:pPr>
              <w:spacing w:after="0"/>
              <w:ind w:left="2" w:right="2"/>
            </w:pPr>
          </w:p>
        </w:tc>
      </w:tr>
      <w:tr w:rsidR="002117B2" w14:paraId="26CB3C2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4F458B3"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CFB846C" w14:textId="77777777" w:rsidR="002117B2" w:rsidRDefault="00616284">
            <w:pPr>
              <w:spacing w:after="0"/>
              <w:ind w:left="2" w:right="2"/>
            </w:pPr>
            <w:r>
              <w:rPr>
                <w:rFonts w:ascii="Calibri" w:eastAsia="Calibri" w:hAnsi="Calibri" w:cs="Calibri"/>
                <w:color w:val="111111"/>
                <w:sz w:val="18"/>
                <w:szCs w:val="18"/>
              </w:rPr>
              <w:t>Member State:</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140251" w14:textId="77777777" w:rsidR="002117B2" w:rsidRDefault="00616284">
            <w:pPr>
              <w:spacing w:after="0"/>
              <w:ind w:left="2" w:right="2"/>
            </w:pPr>
            <w:r>
              <w:rPr>
                <w:rFonts w:ascii="Calibri" w:eastAsia="Calibri" w:hAnsi="Calibri" w:cs="Calibri"/>
                <w:color w:val="111111"/>
                <w:sz w:val="18"/>
                <w:szCs w:val="18"/>
              </w:rPr>
              <w:t>Lithuania</w:t>
            </w:r>
          </w:p>
        </w:tc>
        <w:tc>
          <w:tcPr>
            <w:tcW w:w="216" w:type="dxa"/>
            <w:tcBorders>
              <w:right w:val="single" w:sz="8" w:space="0" w:color="000000"/>
            </w:tcBorders>
            <w:shd w:val="clear" w:color="auto" w:fill="BDD7EE"/>
            <w:tcMar>
              <w:top w:w="0" w:type="dxa"/>
              <w:left w:w="0" w:type="dxa"/>
              <w:bottom w:w="0" w:type="dxa"/>
              <w:right w:w="0" w:type="dxa"/>
            </w:tcMar>
            <w:vAlign w:val="center"/>
          </w:tcPr>
          <w:p w14:paraId="62A9CA85" w14:textId="77777777" w:rsidR="002117B2" w:rsidRDefault="002117B2">
            <w:pPr>
              <w:spacing w:after="0"/>
              <w:ind w:left="2" w:right="2"/>
            </w:pPr>
          </w:p>
        </w:tc>
      </w:tr>
      <w:tr w:rsidR="002117B2" w14:paraId="2976159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DCEF32A"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753740A" w14:textId="77777777" w:rsidR="002117B2" w:rsidRDefault="00616284">
            <w:pPr>
              <w:spacing w:after="0"/>
              <w:ind w:left="2" w:right="2"/>
            </w:pPr>
            <w:r>
              <w:rPr>
                <w:rFonts w:ascii="Calibri" w:eastAsia="Calibri" w:hAnsi="Calibri" w:cs="Calibri"/>
                <w:color w:val="111111"/>
                <w:sz w:val="18"/>
                <w:szCs w:val="18"/>
              </w:rPr>
              <w:t>Sector:</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977F0D" w14:textId="6F036F53" w:rsidR="002117B2" w:rsidRDefault="00616284">
            <w:pPr>
              <w:spacing w:after="0"/>
              <w:ind w:left="2" w:right="2"/>
            </w:pPr>
            <w:r>
              <w:rPr>
                <w:rFonts w:ascii="Calibri" w:eastAsia="Calibri" w:hAnsi="Calibri" w:cs="Calibri"/>
                <w:color w:val="111111"/>
                <w:sz w:val="18"/>
                <w:szCs w:val="18"/>
              </w:rPr>
              <w:t xml:space="preserve">1A3bvi Road </w:t>
            </w:r>
            <w:r w:rsidR="00CD02E8">
              <w:rPr>
                <w:rFonts w:ascii="Calibri" w:eastAsia="Calibri" w:hAnsi="Calibri" w:cs="Calibri"/>
                <w:color w:val="111111"/>
                <w:sz w:val="18"/>
                <w:szCs w:val="18"/>
              </w:rPr>
              <w:t xml:space="preserve">Transport: </w:t>
            </w:r>
            <w:r>
              <w:rPr>
                <w:rFonts w:ascii="Calibri" w:eastAsia="Calibri" w:hAnsi="Calibri" w:cs="Calibri"/>
                <w:color w:val="111111"/>
                <w:sz w:val="18"/>
                <w:szCs w:val="18"/>
              </w:rPr>
              <w:t xml:space="preserve">Automobile </w:t>
            </w:r>
            <w:r w:rsidR="00CD02E8">
              <w:rPr>
                <w:rFonts w:ascii="Calibri" w:eastAsia="Calibri" w:hAnsi="Calibri" w:cs="Calibri"/>
                <w:color w:val="111111"/>
                <w:sz w:val="18"/>
                <w:szCs w:val="18"/>
              </w:rPr>
              <w:t>Tyre and Brake Wear</w:t>
            </w:r>
          </w:p>
        </w:tc>
        <w:tc>
          <w:tcPr>
            <w:tcW w:w="216" w:type="dxa"/>
            <w:tcBorders>
              <w:right w:val="single" w:sz="8" w:space="0" w:color="000000"/>
            </w:tcBorders>
            <w:shd w:val="clear" w:color="auto" w:fill="BDD7EE"/>
            <w:tcMar>
              <w:top w:w="0" w:type="dxa"/>
              <w:left w:w="0" w:type="dxa"/>
              <w:bottom w:w="0" w:type="dxa"/>
              <w:right w:w="0" w:type="dxa"/>
            </w:tcMar>
            <w:vAlign w:val="center"/>
          </w:tcPr>
          <w:p w14:paraId="59F1B9E9" w14:textId="77777777" w:rsidR="002117B2" w:rsidRDefault="002117B2">
            <w:pPr>
              <w:spacing w:after="0"/>
              <w:ind w:left="2" w:right="2"/>
            </w:pPr>
          </w:p>
        </w:tc>
      </w:tr>
      <w:tr w:rsidR="002117B2" w14:paraId="7EDEFEB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226CB39"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54F183C" w14:textId="77777777" w:rsidR="002117B2" w:rsidRDefault="00616284">
            <w:pPr>
              <w:spacing w:after="0"/>
              <w:ind w:left="2" w:right="2"/>
            </w:pPr>
            <w:r>
              <w:rPr>
                <w:rFonts w:ascii="Calibri" w:eastAsia="Calibri" w:hAnsi="Calibri" w:cs="Calibri"/>
                <w:color w:val="111111"/>
                <w:sz w:val="18"/>
                <w:szCs w:val="18"/>
              </w:rPr>
              <w:t>Pollutants:</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617710" w14:textId="77777777" w:rsidR="002117B2" w:rsidRDefault="00616284">
            <w:pPr>
              <w:spacing w:after="0"/>
              <w:ind w:left="2" w:right="2"/>
            </w:pPr>
            <w:r>
              <w:rPr>
                <w:rFonts w:ascii="Calibri" w:eastAsia="Calibri" w:hAnsi="Calibri" w:cs="Calibri"/>
                <w:color w:val="111111"/>
                <w:sz w:val="18"/>
                <w:szCs w:val="18"/>
              </w:rPr>
              <w:t>Pb</w:t>
            </w:r>
          </w:p>
        </w:tc>
        <w:tc>
          <w:tcPr>
            <w:tcW w:w="216" w:type="dxa"/>
            <w:tcBorders>
              <w:right w:val="single" w:sz="8" w:space="0" w:color="000000"/>
            </w:tcBorders>
            <w:shd w:val="clear" w:color="auto" w:fill="BDD7EE"/>
            <w:tcMar>
              <w:top w:w="0" w:type="dxa"/>
              <w:left w:w="0" w:type="dxa"/>
              <w:bottom w:w="0" w:type="dxa"/>
              <w:right w:w="0" w:type="dxa"/>
            </w:tcMar>
            <w:vAlign w:val="center"/>
          </w:tcPr>
          <w:p w14:paraId="34215C4E" w14:textId="77777777" w:rsidR="002117B2" w:rsidRDefault="002117B2">
            <w:pPr>
              <w:spacing w:after="0"/>
              <w:ind w:left="2" w:right="2"/>
            </w:pPr>
          </w:p>
        </w:tc>
      </w:tr>
      <w:tr w:rsidR="002117B2" w14:paraId="0BAEB41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BDE9F47"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69136BE" w14:textId="77777777" w:rsidR="002117B2" w:rsidRDefault="00616284">
            <w:pPr>
              <w:spacing w:after="0"/>
              <w:ind w:left="2" w:right="2"/>
            </w:pPr>
            <w:r>
              <w:rPr>
                <w:rFonts w:ascii="Calibri" w:eastAsia="Calibri" w:hAnsi="Calibri" w:cs="Calibri"/>
                <w:color w:val="111111"/>
                <w:sz w:val="18"/>
                <w:szCs w:val="18"/>
              </w:rPr>
              <w:t>Completed by (SE):</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EDE997" w14:textId="77777777" w:rsidR="002117B2" w:rsidRDefault="00616284">
            <w:pPr>
              <w:spacing w:after="0"/>
              <w:ind w:left="2" w:right="2"/>
            </w:pPr>
            <w:r>
              <w:rPr>
                <w:rFonts w:ascii="Calibri" w:eastAsia="Calibri" w:hAnsi="Calibri" w:cs="Calibri"/>
                <w:color w:val="111111"/>
                <w:sz w:val="18"/>
                <w:szCs w:val="18"/>
              </w:rPr>
              <w:t>Matina Kastori</w:t>
            </w:r>
          </w:p>
        </w:tc>
        <w:tc>
          <w:tcPr>
            <w:tcW w:w="216" w:type="dxa"/>
            <w:tcBorders>
              <w:right w:val="single" w:sz="8" w:space="0" w:color="000000"/>
            </w:tcBorders>
            <w:shd w:val="clear" w:color="auto" w:fill="BDD7EE"/>
            <w:tcMar>
              <w:top w:w="0" w:type="dxa"/>
              <w:left w:w="0" w:type="dxa"/>
              <w:bottom w:w="0" w:type="dxa"/>
              <w:right w:w="0" w:type="dxa"/>
            </w:tcMar>
            <w:vAlign w:val="center"/>
          </w:tcPr>
          <w:p w14:paraId="71274C80" w14:textId="77777777" w:rsidR="002117B2" w:rsidRDefault="002117B2">
            <w:pPr>
              <w:spacing w:after="0"/>
              <w:ind w:left="2" w:right="2"/>
            </w:pPr>
          </w:p>
        </w:tc>
      </w:tr>
      <w:tr w:rsidR="002117B2" w14:paraId="235FB74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83F1432"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6F68D18" w14:textId="77777777" w:rsidR="002117B2" w:rsidRDefault="00616284">
            <w:pPr>
              <w:spacing w:after="0"/>
              <w:ind w:left="2" w:right="2"/>
            </w:pPr>
            <w:r>
              <w:rPr>
                <w:rFonts w:ascii="Calibri" w:eastAsia="Calibri" w:hAnsi="Calibri" w:cs="Calibri"/>
                <w:color w:val="111111"/>
                <w:sz w:val="18"/>
                <w:szCs w:val="18"/>
              </w:rPr>
              <w:t>Reviewed by (LR):</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8F9DC6" w14:textId="77777777" w:rsidR="002117B2" w:rsidRDefault="00616284">
            <w:pPr>
              <w:spacing w:after="0"/>
              <w:ind w:left="2" w:right="2"/>
            </w:pPr>
            <w:r>
              <w:rPr>
                <w:rFonts w:ascii="Calibri" w:eastAsia="Calibri" w:hAnsi="Calibri" w:cs="Calibri"/>
                <w:color w:val="111111"/>
                <w:sz w:val="18"/>
                <w:szCs w:val="18"/>
              </w:rPr>
              <w:t>Justin Goodwin</w:t>
            </w:r>
          </w:p>
        </w:tc>
        <w:tc>
          <w:tcPr>
            <w:tcW w:w="216" w:type="dxa"/>
            <w:tcBorders>
              <w:right w:val="single" w:sz="8" w:space="0" w:color="000000"/>
            </w:tcBorders>
            <w:shd w:val="clear" w:color="auto" w:fill="BDD7EE"/>
            <w:tcMar>
              <w:top w:w="0" w:type="dxa"/>
              <w:left w:w="0" w:type="dxa"/>
              <w:bottom w:w="0" w:type="dxa"/>
              <w:right w:w="0" w:type="dxa"/>
            </w:tcMar>
            <w:vAlign w:val="center"/>
          </w:tcPr>
          <w:p w14:paraId="3FA4766B" w14:textId="77777777" w:rsidR="002117B2" w:rsidRDefault="002117B2">
            <w:pPr>
              <w:spacing w:after="0"/>
              <w:ind w:left="2" w:right="2"/>
            </w:pPr>
          </w:p>
        </w:tc>
      </w:tr>
      <w:tr w:rsidR="002117B2" w14:paraId="7DE61748"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A06A816"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C6B1B8C" w14:textId="77777777" w:rsidR="002117B2" w:rsidRDefault="00616284">
            <w:pPr>
              <w:spacing w:after="0"/>
              <w:ind w:left="2" w:right="2"/>
            </w:pPr>
            <w:r>
              <w:rPr>
                <w:rFonts w:ascii="Calibri" w:eastAsia="Calibri" w:hAnsi="Calibri" w:cs="Calibri"/>
                <w:color w:val="111111"/>
                <w:sz w:val="18"/>
                <w:szCs w:val="18"/>
              </w:rPr>
              <w:t>Reviewed by (Counterpart):</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0CB59C" w14:textId="77777777" w:rsidR="002117B2" w:rsidRDefault="00616284">
            <w:pPr>
              <w:spacing w:after="0"/>
              <w:ind w:left="2" w:right="2"/>
            </w:pPr>
            <w:r>
              <w:rPr>
                <w:rFonts w:ascii="Calibri" w:eastAsia="Calibri" w:hAnsi="Calibri" w:cs="Calibri"/>
                <w:color w:val="111111"/>
                <w:sz w:val="18"/>
                <w:szCs w:val="18"/>
              </w:rPr>
              <w:t>Jean-Marc André</w:t>
            </w:r>
          </w:p>
        </w:tc>
        <w:tc>
          <w:tcPr>
            <w:tcW w:w="216" w:type="dxa"/>
            <w:tcBorders>
              <w:right w:val="single" w:sz="8" w:space="0" w:color="000000"/>
            </w:tcBorders>
            <w:shd w:val="clear" w:color="auto" w:fill="BDD7EE"/>
            <w:tcMar>
              <w:top w:w="0" w:type="dxa"/>
              <w:left w:w="0" w:type="dxa"/>
              <w:bottom w:w="0" w:type="dxa"/>
              <w:right w:w="0" w:type="dxa"/>
            </w:tcMar>
            <w:vAlign w:val="center"/>
          </w:tcPr>
          <w:p w14:paraId="469FDCCA" w14:textId="77777777" w:rsidR="002117B2" w:rsidRDefault="002117B2">
            <w:pPr>
              <w:spacing w:after="0"/>
              <w:ind w:left="2" w:right="2"/>
            </w:pPr>
          </w:p>
        </w:tc>
      </w:tr>
      <w:tr w:rsidR="002117B2" w14:paraId="6F3302C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F18268E"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C8C0A19" w14:textId="77777777" w:rsidR="002117B2" w:rsidRDefault="00616284">
            <w:pPr>
              <w:spacing w:after="0"/>
              <w:ind w:left="2" w:right="2"/>
            </w:pPr>
            <w:r>
              <w:rPr>
                <w:rFonts w:ascii="Calibri" w:eastAsia="Calibri" w:hAnsi="Calibri" w:cs="Calibri"/>
                <w:color w:val="111111"/>
                <w:sz w:val="18"/>
                <w:szCs w:val="18"/>
              </w:rPr>
              <w:t>Reviewed by (Quality Controller):</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6C4C4F" w14:textId="77777777" w:rsidR="002117B2" w:rsidRDefault="00616284">
            <w:pPr>
              <w:spacing w:after="0"/>
              <w:ind w:left="2" w:right="2"/>
            </w:pPr>
            <w:r>
              <w:rPr>
                <w:rFonts w:ascii="Calibri" w:eastAsia="Calibri" w:hAnsi="Calibri" w:cs="Calibri"/>
                <w:color w:val="111111"/>
                <w:sz w:val="18"/>
                <w:szCs w:val="18"/>
              </w:rPr>
              <w:t>Chris Dore</w:t>
            </w:r>
          </w:p>
        </w:tc>
        <w:tc>
          <w:tcPr>
            <w:tcW w:w="216" w:type="dxa"/>
            <w:tcBorders>
              <w:right w:val="single" w:sz="8" w:space="0" w:color="000000"/>
            </w:tcBorders>
            <w:shd w:val="clear" w:color="auto" w:fill="BDD7EE"/>
            <w:tcMar>
              <w:top w:w="0" w:type="dxa"/>
              <w:left w:w="0" w:type="dxa"/>
              <w:bottom w:w="0" w:type="dxa"/>
              <w:right w:w="0" w:type="dxa"/>
            </w:tcMar>
            <w:vAlign w:val="center"/>
          </w:tcPr>
          <w:p w14:paraId="6CB82366" w14:textId="77777777" w:rsidR="002117B2" w:rsidRDefault="002117B2">
            <w:pPr>
              <w:spacing w:after="0"/>
              <w:ind w:left="2" w:right="2"/>
            </w:pPr>
          </w:p>
        </w:tc>
      </w:tr>
      <w:tr w:rsidR="002117B2" w14:paraId="6BB0FED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2FF7154"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6CAB6AEB"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0731BD8C"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1A416739"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5A21B47F"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5A164E37"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24C38B45"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7CC29022"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F205FC9"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2807908A"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4540D4E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334626E" w14:textId="77777777" w:rsidR="002117B2" w:rsidRDefault="002117B2">
            <w:pPr>
              <w:spacing w:after="0"/>
              <w:ind w:left="2" w:right="2"/>
            </w:pPr>
          </w:p>
        </w:tc>
      </w:tr>
      <w:tr w:rsidR="002117B2" w14:paraId="6858B76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02E2327"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50751EF" w14:textId="77777777" w:rsidR="002117B2" w:rsidRDefault="00616284">
            <w:pPr>
              <w:spacing w:after="0"/>
              <w:ind w:left="2" w:right="2"/>
            </w:pPr>
            <w:r>
              <w:rPr>
                <w:rFonts w:ascii="Calibri" w:eastAsia="Calibri" w:hAnsi="Calibri" w:cs="Calibri"/>
                <w:color w:val="111111"/>
                <w:sz w:val="18"/>
                <w:szCs w:val="18"/>
              </w:rPr>
              <w:t>The underlying problem:</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DEEB3C" w14:textId="77777777" w:rsidR="002117B2" w:rsidRDefault="00616284">
            <w:pPr>
              <w:spacing w:after="0"/>
              <w:ind w:left="2" w:right="2"/>
            </w:pPr>
            <w:r>
              <w:rPr>
                <w:rFonts w:ascii="Calibri" w:eastAsia="Calibri" w:hAnsi="Calibri" w:cs="Calibri"/>
                <w:color w:val="111111"/>
                <w:sz w:val="18"/>
                <w:szCs w:val="18"/>
              </w:rPr>
              <w:t>Lack of transparency on Tier method used, sector 1A3bvi (tyre and brake wear), pollutant Pb (key category), which resulted in slightly underestimated emissions.</w:t>
            </w:r>
          </w:p>
        </w:tc>
        <w:tc>
          <w:tcPr>
            <w:tcW w:w="216" w:type="dxa"/>
            <w:tcBorders>
              <w:right w:val="single" w:sz="8" w:space="0" w:color="000000"/>
            </w:tcBorders>
            <w:shd w:val="clear" w:color="auto" w:fill="BDD7EE"/>
            <w:tcMar>
              <w:top w:w="0" w:type="dxa"/>
              <w:left w:w="0" w:type="dxa"/>
              <w:bottom w:w="0" w:type="dxa"/>
              <w:right w:w="0" w:type="dxa"/>
            </w:tcMar>
            <w:vAlign w:val="center"/>
          </w:tcPr>
          <w:p w14:paraId="76F3217D" w14:textId="77777777" w:rsidR="002117B2" w:rsidRDefault="002117B2">
            <w:pPr>
              <w:spacing w:after="0"/>
              <w:ind w:left="2" w:right="2"/>
            </w:pPr>
          </w:p>
        </w:tc>
      </w:tr>
      <w:tr w:rsidR="002117B2" w14:paraId="3BE989E2"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E7FF0F6"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D4BD658" w14:textId="77777777" w:rsidR="002117B2" w:rsidRDefault="00616284">
            <w:pPr>
              <w:spacing w:after="0"/>
              <w:ind w:left="2" w:right="2"/>
            </w:pPr>
            <w:r>
              <w:rPr>
                <w:rFonts w:ascii="Calibri" w:eastAsia="Calibri" w:hAnsi="Calibri" w:cs="Calibri"/>
                <w:color w:val="111111"/>
                <w:sz w:val="18"/>
                <w:szCs w:val="18"/>
              </w:rPr>
              <w:t>Summarise the methodology used:</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6AEB06" w14:textId="77777777" w:rsidR="002117B2" w:rsidRDefault="00616284">
            <w:pPr>
              <w:spacing w:after="0"/>
              <w:ind w:left="2" w:right="2"/>
            </w:pPr>
            <w:r>
              <w:rPr>
                <w:rFonts w:ascii="Calibri" w:eastAsia="Calibri" w:hAnsi="Calibri" w:cs="Calibri"/>
                <w:color w:val="111111"/>
                <w:sz w:val="18"/>
                <w:szCs w:val="18"/>
              </w:rPr>
              <w:t>Lithuania recalculated these emissions using COPERT v.5.0.</w:t>
            </w:r>
          </w:p>
        </w:tc>
        <w:tc>
          <w:tcPr>
            <w:tcW w:w="216" w:type="dxa"/>
            <w:tcBorders>
              <w:right w:val="single" w:sz="8" w:space="0" w:color="000000"/>
            </w:tcBorders>
            <w:shd w:val="clear" w:color="auto" w:fill="BDD7EE"/>
            <w:tcMar>
              <w:top w:w="0" w:type="dxa"/>
              <w:left w:w="0" w:type="dxa"/>
              <w:bottom w:w="0" w:type="dxa"/>
              <w:right w:w="0" w:type="dxa"/>
            </w:tcMar>
            <w:vAlign w:val="center"/>
          </w:tcPr>
          <w:p w14:paraId="5DC72529" w14:textId="77777777" w:rsidR="002117B2" w:rsidRDefault="002117B2">
            <w:pPr>
              <w:spacing w:after="0"/>
              <w:ind w:left="2" w:right="2"/>
            </w:pPr>
          </w:p>
        </w:tc>
      </w:tr>
      <w:tr w:rsidR="002117B2" w14:paraId="20413C4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95B83D6" w14:textId="77777777" w:rsidR="002117B2" w:rsidRDefault="002117B2">
            <w:pPr>
              <w:spacing w:after="0"/>
              <w:ind w:left="2" w:right="2"/>
              <w:jc w:val="center"/>
            </w:pPr>
          </w:p>
        </w:tc>
        <w:tc>
          <w:tcPr>
            <w:tcW w:w="1008" w:type="dxa"/>
            <w:tcBorders>
              <w:bottom w:val="single" w:sz="8" w:space="0" w:color="000000"/>
            </w:tcBorders>
            <w:shd w:val="clear" w:color="auto" w:fill="BDD7EE"/>
            <w:tcMar>
              <w:top w:w="0" w:type="dxa"/>
              <w:left w:w="0" w:type="dxa"/>
              <w:bottom w:w="0" w:type="dxa"/>
              <w:right w:w="0" w:type="dxa"/>
            </w:tcMar>
            <w:vAlign w:val="center"/>
          </w:tcPr>
          <w:p w14:paraId="16DD6F54"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4804A10A"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74A2C6F5"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23B7AC67"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585DA796"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1BF2F9DD"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53685AFE"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65779597"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37B2C176"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5FB48C27"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2C71AE87" w14:textId="77777777" w:rsidR="002117B2" w:rsidRDefault="002117B2">
            <w:pPr>
              <w:spacing w:after="0"/>
              <w:ind w:left="2" w:right="2"/>
            </w:pPr>
          </w:p>
        </w:tc>
      </w:tr>
      <w:tr w:rsidR="002117B2" w14:paraId="47192A7A"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1B20AFF" w14:textId="77777777" w:rsidR="002117B2" w:rsidRDefault="00616284">
            <w:pPr>
              <w:spacing w:after="0"/>
              <w:ind w:left="2" w:right="2"/>
              <w:jc w:val="center"/>
            </w:pPr>
            <w:r>
              <w:rPr>
                <w:rFonts w:ascii="Calibri" w:eastAsia="Calibri" w:hAnsi="Calibri" w:cs="Calibri"/>
                <w:b/>
                <w:color w:val="FFFFFF"/>
                <w:sz w:val="18"/>
                <w:szCs w:val="18"/>
              </w:rPr>
              <w:t>2</w:t>
            </w:r>
          </w:p>
        </w:tc>
        <w:tc>
          <w:tcPr>
            <w:tcW w:w="9144" w:type="dxa"/>
            <w:gridSpan w:val="11"/>
            <w:tcBorders>
              <w:top w:val="single" w:sz="8" w:space="0" w:color="000000"/>
            </w:tcBorders>
            <w:shd w:val="clear" w:color="auto" w:fill="BDD7EE"/>
            <w:tcMar>
              <w:top w:w="0" w:type="dxa"/>
              <w:left w:w="0" w:type="dxa"/>
              <w:bottom w:w="0" w:type="dxa"/>
              <w:right w:w="0" w:type="dxa"/>
            </w:tcMar>
            <w:vAlign w:val="center"/>
          </w:tcPr>
          <w:p w14:paraId="265C89A4" w14:textId="77777777" w:rsidR="002117B2" w:rsidRDefault="00616284">
            <w:pPr>
              <w:spacing w:after="0"/>
              <w:ind w:left="2" w:right="2"/>
            </w:pPr>
            <w:r>
              <w:rPr>
                <w:rFonts w:ascii="Calibri" w:eastAsia="Calibri" w:hAnsi="Calibri" w:cs="Calibri"/>
                <w:b/>
                <w:color w:val="111111"/>
                <w:sz w:val="18"/>
                <w:szCs w:val="18"/>
              </w:rPr>
              <w:t>Details of the corrected estimate</w:t>
            </w:r>
          </w:p>
        </w:tc>
      </w:tr>
      <w:tr w:rsidR="002117B2" w14:paraId="67E19099"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B7F6942"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51F5C1C5"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C1796A1" w14:textId="77777777" w:rsidR="002117B2" w:rsidRDefault="00616284">
            <w:pPr>
              <w:spacing w:after="0"/>
              <w:ind w:left="2" w:right="2"/>
              <w:jc w:val="center"/>
            </w:pPr>
            <w:r>
              <w:rPr>
                <w:rFonts w:ascii="Calibri" w:eastAsia="Calibri" w:hAnsi="Calibri" w:cs="Calibri"/>
                <w:b/>
                <w:color w:val="111111"/>
                <w:sz w:val="18"/>
                <w:szCs w:val="18"/>
              </w:rPr>
              <w:t>Original Estimate</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FFA8631"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18FAC844" w14:textId="77777777" w:rsidR="002117B2" w:rsidRDefault="002117B2">
            <w:pPr>
              <w:spacing w:after="0"/>
              <w:ind w:left="2" w:right="2"/>
              <w:jc w:val="center"/>
            </w:pPr>
          </w:p>
        </w:tc>
      </w:tr>
      <w:tr w:rsidR="002117B2" w14:paraId="23228708"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3752AC0"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0F5FA8A"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7996477"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2AFE506"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0F1EF12"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C6D61D9"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B4FB9A5"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C91B37F"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CA0170E"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4A1611C" w14:textId="77777777" w:rsidR="002117B2" w:rsidRDefault="00616284">
            <w:pPr>
              <w:spacing w:after="0"/>
              <w:ind w:left="2" w:right="2"/>
              <w:jc w:val="center"/>
            </w:pPr>
            <w:r>
              <w:rPr>
                <w:rFonts w:ascii="Calibri" w:eastAsia="Calibri" w:hAnsi="Calibri" w:cs="Calibri"/>
                <w:color w:val="111111"/>
                <w:sz w:val="18"/>
                <w:szCs w:val="18"/>
              </w:rPr>
              <w:t>PCBs (kg)</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E172DBC"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3A4278D6" w14:textId="77777777" w:rsidR="002117B2" w:rsidRDefault="002117B2">
            <w:pPr>
              <w:spacing w:after="0"/>
              <w:ind w:left="2" w:right="2"/>
              <w:jc w:val="center"/>
            </w:pPr>
          </w:p>
        </w:tc>
      </w:tr>
      <w:tr w:rsidR="002117B2" w14:paraId="1973CE4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EA2F6D9"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CE4E4D5"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2B9EEB" w14:textId="77777777" w:rsidR="002117B2" w:rsidRDefault="00616284">
            <w:pPr>
              <w:spacing w:after="0"/>
              <w:ind w:left="2" w:right="2"/>
            </w:pPr>
            <w:r>
              <w:rPr>
                <w:rFonts w:ascii="Calibri" w:eastAsia="Calibri" w:hAnsi="Calibri" w:cs="Calibri"/>
                <w:color w:val="111111"/>
                <w:sz w:val="18"/>
                <w:szCs w:val="18"/>
              </w:rPr>
              <w:t>0.488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7C413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DDA18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8AC91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51DD7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A9CAB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D38A7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735D29"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C99948"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70A1927" w14:textId="77777777" w:rsidR="002117B2" w:rsidRDefault="002117B2">
            <w:pPr>
              <w:spacing w:after="0"/>
              <w:ind w:left="2" w:right="2"/>
            </w:pPr>
          </w:p>
        </w:tc>
      </w:tr>
      <w:tr w:rsidR="002117B2" w14:paraId="113BD3F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ABD3CDB"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8D466D7"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7A124F" w14:textId="77777777" w:rsidR="002117B2" w:rsidRDefault="00616284">
            <w:pPr>
              <w:spacing w:after="0"/>
              <w:ind w:left="2" w:right="2"/>
            </w:pPr>
            <w:r>
              <w:rPr>
                <w:rFonts w:ascii="Calibri" w:eastAsia="Calibri" w:hAnsi="Calibri" w:cs="Calibri"/>
                <w:color w:val="111111"/>
                <w:sz w:val="18"/>
                <w:szCs w:val="18"/>
              </w:rPr>
              <w:t>0.312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1D302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CC03C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B9E66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C9A41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A9AF1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AE2AC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AB8A41"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E3AC6A"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05A3F51" w14:textId="77777777" w:rsidR="002117B2" w:rsidRDefault="002117B2">
            <w:pPr>
              <w:spacing w:after="0"/>
              <w:ind w:left="2" w:right="2"/>
            </w:pPr>
          </w:p>
        </w:tc>
      </w:tr>
      <w:tr w:rsidR="002117B2" w14:paraId="43625F8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F3FF796"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40A0033"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B65BAC" w14:textId="77777777" w:rsidR="002117B2" w:rsidRDefault="00616284">
            <w:pPr>
              <w:spacing w:after="0"/>
              <w:ind w:left="2" w:right="2"/>
            </w:pPr>
            <w:r>
              <w:rPr>
                <w:rFonts w:ascii="Calibri" w:eastAsia="Calibri" w:hAnsi="Calibri" w:cs="Calibri"/>
                <w:color w:val="111111"/>
                <w:sz w:val="18"/>
                <w:szCs w:val="18"/>
              </w:rPr>
              <w:t>0.534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E7C9B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31A74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EC158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03C79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0CF85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A037E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8DCDB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19F12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0450876" w14:textId="77777777" w:rsidR="002117B2" w:rsidRDefault="002117B2">
            <w:pPr>
              <w:spacing w:after="0"/>
              <w:ind w:left="2" w:right="2"/>
            </w:pPr>
          </w:p>
        </w:tc>
      </w:tr>
      <w:tr w:rsidR="002117B2" w14:paraId="202006D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FF85F0B"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662F306"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1218B3" w14:textId="77777777" w:rsidR="002117B2" w:rsidRDefault="00616284">
            <w:pPr>
              <w:spacing w:after="0"/>
              <w:ind w:left="2" w:right="2"/>
            </w:pPr>
            <w:r>
              <w:rPr>
                <w:rFonts w:ascii="Calibri" w:eastAsia="Calibri" w:hAnsi="Calibri" w:cs="Calibri"/>
                <w:color w:val="111111"/>
                <w:sz w:val="18"/>
                <w:szCs w:val="18"/>
              </w:rPr>
              <w:t>0.476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4A7DF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CF5F2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81F64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D26BA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786F0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487AC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9BA560"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240F5E"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D6E6B87" w14:textId="77777777" w:rsidR="002117B2" w:rsidRDefault="002117B2">
            <w:pPr>
              <w:spacing w:after="0"/>
              <w:ind w:left="2" w:right="2"/>
            </w:pPr>
          </w:p>
        </w:tc>
      </w:tr>
      <w:tr w:rsidR="002117B2" w14:paraId="34653DF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7B3360F"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12D89A9"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06D250" w14:textId="77777777" w:rsidR="002117B2" w:rsidRDefault="00616284">
            <w:pPr>
              <w:spacing w:after="0"/>
              <w:ind w:left="2" w:right="2"/>
            </w:pPr>
            <w:r>
              <w:rPr>
                <w:rFonts w:ascii="Calibri" w:eastAsia="Calibri" w:hAnsi="Calibri" w:cs="Calibri"/>
                <w:color w:val="111111"/>
                <w:sz w:val="18"/>
                <w:szCs w:val="18"/>
              </w:rPr>
              <w:t>0.476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BF309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B6E00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BD2C9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651BC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E6DF6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1665C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4ACBC6"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782DFD"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289328E" w14:textId="77777777" w:rsidR="002117B2" w:rsidRDefault="002117B2">
            <w:pPr>
              <w:spacing w:after="0"/>
              <w:ind w:left="2" w:right="2"/>
            </w:pPr>
          </w:p>
        </w:tc>
      </w:tr>
      <w:tr w:rsidR="002117B2" w14:paraId="391D578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B05FD8D"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1FDCCA24"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7443783A"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5B684F44"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BB5C9D4"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180CB9F6"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B46D414"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2742E892"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CE0F2B1"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6CCB5F58"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5115942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3E16646" w14:textId="77777777" w:rsidR="002117B2" w:rsidRDefault="002117B2">
            <w:pPr>
              <w:spacing w:after="0"/>
              <w:ind w:left="2" w:right="2"/>
            </w:pPr>
          </w:p>
        </w:tc>
      </w:tr>
      <w:tr w:rsidR="002117B2" w14:paraId="2D44099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5B4D168"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74D24F0E"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32FC8D7" w14:textId="77777777" w:rsidR="002117B2" w:rsidRDefault="00616284">
            <w:pPr>
              <w:spacing w:after="0"/>
              <w:ind w:left="2" w:right="2"/>
              <w:jc w:val="center"/>
            </w:pPr>
            <w:r>
              <w:rPr>
                <w:rFonts w:ascii="Calibri" w:eastAsia="Calibri" w:hAnsi="Calibri" w:cs="Calibri"/>
                <w:b/>
                <w:color w:val="111111"/>
                <w:sz w:val="18"/>
                <w:szCs w:val="18"/>
              </w:rPr>
              <w:t>Revised Estimate received from MS</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B38CA95"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6CC06DE0" w14:textId="77777777" w:rsidR="002117B2" w:rsidRDefault="002117B2">
            <w:pPr>
              <w:spacing w:after="0"/>
              <w:ind w:left="2" w:right="2"/>
              <w:jc w:val="center"/>
            </w:pPr>
          </w:p>
        </w:tc>
      </w:tr>
      <w:tr w:rsidR="002117B2" w14:paraId="66EF14E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6317A6B"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3321F0E"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4DE412A"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D76C360"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031E88D"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5B36FA5"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FCEE1B0"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EB4E120"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C2D4757"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016AFB9" w14:textId="77777777" w:rsidR="002117B2" w:rsidRDefault="00616284">
            <w:pPr>
              <w:spacing w:after="0"/>
              <w:ind w:left="2" w:right="2"/>
              <w:jc w:val="center"/>
            </w:pPr>
            <w:r>
              <w:rPr>
                <w:rFonts w:ascii="Calibri" w:eastAsia="Calibri" w:hAnsi="Calibri" w:cs="Calibri"/>
                <w:color w:val="111111"/>
                <w:sz w:val="18"/>
                <w:szCs w:val="18"/>
              </w:rPr>
              <w:t>PCBs (kg)</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15FFAE4"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5A28B686" w14:textId="77777777" w:rsidR="002117B2" w:rsidRDefault="002117B2">
            <w:pPr>
              <w:spacing w:after="0"/>
              <w:ind w:left="2" w:right="2"/>
              <w:jc w:val="center"/>
            </w:pPr>
          </w:p>
        </w:tc>
      </w:tr>
      <w:tr w:rsidR="002117B2" w14:paraId="3DC2D5B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D02B9FC"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CA5FC58"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CEA94A" w14:textId="77777777" w:rsidR="002117B2" w:rsidRDefault="00616284">
            <w:pPr>
              <w:spacing w:after="0"/>
              <w:ind w:left="2" w:right="2"/>
            </w:pPr>
            <w:r>
              <w:rPr>
                <w:rFonts w:ascii="Calibri" w:eastAsia="Calibri" w:hAnsi="Calibri" w:cs="Calibri"/>
                <w:color w:val="111111"/>
                <w:sz w:val="18"/>
                <w:szCs w:val="18"/>
              </w:rPr>
              <w:t>0.495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41565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996AD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A4BF4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49F1D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CF74A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BC448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9DB88C"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BDB40A"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FB0D406" w14:textId="77777777" w:rsidR="002117B2" w:rsidRDefault="002117B2">
            <w:pPr>
              <w:spacing w:after="0"/>
              <w:ind w:left="2" w:right="2"/>
            </w:pPr>
          </w:p>
        </w:tc>
      </w:tr>
      <w:tr w:rsidR="002117B2" w14:paraId="5280994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8D270A"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01FA3DE"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DE5197" w14:textId="77777777" w:rsidR="002117B2" w:rsidRDefault="00616284">
            <w:pPr>
              <w:spacing w:after="0"/>
              <w:ind w:left="2" w:right="2"/>
            </w:pPr>
            <w:r>
              <w:rPr>
                <w:rFonts w:ascii="Calibri" w:eastAsia="Calibri" w:hAnsi="Calibri" w:cs="Calibri"/>
                <w:color w:val="111111"/>
                <w:sz w:val="18"/>
                <w:szCs w:val="18"/>
              </w:rPr>
              <w:t>0.374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ECF4D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7872D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DB043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3E795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C1EF0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FA982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AC297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BFD2DB"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2091BEA" w14:textId="77777777" w:rsidR="002117B2" w:rsidRDefault="002117B2">
            <w:pPr>
              <w:spacing w:after="0"/>
              <w:ind w:left="2" w:right="2"/>
            </w:pPr>
          </w:p>
        </w:tc>
      </w:tr>
      <w:tr w:rsidR="002117B2" w14:paraId="4E8D4B7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A8423C3"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A5CBED1"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111CA3" w14:textId="77777777" w:rsidR="002117B2" w:rsidRDefault="00616284">
            <w:pPr>
              <w:spacing w:after="0"/>
              <w:ind w:left="2" w:right="2"/>
            </w:pPr>
            <w:r>
              <w:rPr>
                <w:rFonts w:ascii="Calibri" w:eastAsia="Calibri" w:hAnsi="Calibri" w:cs="Calibri"/>
                <w:color w:val="111111"/>
                <w:sz w:val="18"/>
                <w:szCs w:val="18"/>
              </w:rPr>
              <w:t>0.490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84625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BDAE9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DFFB4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B6A4A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D7BC2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59755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F7505D"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D2DDBF"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0191B9B0" w14:textId="77777777" w:rsidR="002117B2" w:rsidRDefault="002117B2">
            <w:pPr>
              <w:spacing w:after="0"/>
              <w:ind w:left="2" w:right="2"/>
            </w:pPr>
          </w:p>
        </w:tc>
      </w:tr>
      <w:tr w:rsidR="002117B2" w14:paraId="7682C68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D95B6E2"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395AB16"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D11A32" w14:textId="77777777" w:rsidR="002117B2" w:rsidRDefault="00616284">
            <w:pPr>
              <w:spacing w:after="0"/>
              <w:ind w:left="2" w:right="2"/>
            </w:pPr>
            <w:r>
              <w:rPr>
                <w:rFonts w:ascii="Calibri" w:eastAsia="Calibri" w:hAnsi="Calibri" w:cs="Calibri"/>
                <w:color w:val="111111"/>
                <w:sz w:val="18"/>
                <w:szCs w:val="18"/>
              </w:rPr>
              <w:t>0.515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E6DAA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5E7D6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FD984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C6EC8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6CB4A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5A908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67778B"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61C392"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1989B19" w14:textId="77777777" w:rsidR="002117B2" w:rsidRDefault="002117B2">
            <w:pPr>
              <w:spacing w:after="0"/>
              <w:ind w:left="2" w:right="2"/>
            </w:pPr>
          </w:p>
        </w:tc>
      </w:tr>
      <w:tr w:rsidR="002117B2" w14:paraId="6451F10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2061417"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E3D65F0"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7C68C6" w14:textId="77777777" w:rsidR="002117B2" w:rsidRDefault="00616284">
            <w:pPr>
              <w:spacing w:after="0"/>
              <w:ind w:left="2" w:right="2"/>
            </w:pPr>
            <w:r>
              <w:rPr>
                <w:rFonts w:ascii="Calibri" w:eastAsia="Calibri" w:hAnsi="Calibri" w:cs="Calibri"/>
                <w:color w:val="111111"/>
                <w:sz w:val="18"/>
                <w:szCs w:val="18"/>
              </w:rPr>
              <w:t>0.548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CC63C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1D6A3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80A96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EFC40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41660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F376F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273DC4"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795ADA"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59F1E16" w14:textId="77777777" w:rsidR="002117B2" w:rsidRDefault="002117B2">
            <w:pPr>
              <w:spacing w:after="0"/>
              <w:ind w:left="2" w:right="2"/>
            </w:pPr>
          </w:p>
        </w:tc>
      </w:tr>
      <w:tr w:rsidR="002117B2" w14:paraId="69A0345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697AA5A"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736F0340"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04DCB62D"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22457CA5"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5ECB846E"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0A45C88"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7C7EAECF"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23054080"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1B882760"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515B3C2E"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3420944B"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0E5C415" w14:textId="77777777" w:rsidR="002117B2" w:rsidRDefault="002117B2">
            <w:pPr>
              <w:spacing w:after="0"/>
              <w:ind w:left="2" w:right="2"/>
            </w:pPr>
          </w:p>
        </w:tc>
      </w:tr>
      <w:tr w:rsidR="002117B2" w14:paraId="489A90D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205D2B7"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747184C7"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1FFBF61" w14:textId="77777777" w:rsidR="002117B2" w:rsidRDefault="00616284">
            <w:pPr>
              <w:spacing w:after="0"/>
              <w:ind w:left="2" w:right="2"/>
              <w:jc w:val="center"/>
            </w:pPr>
            <w:r>
              <w:rPr>
                <w:rFonts w:ascii="Calibri" w:eastAsia="Calibri" w:hAnsi="Calibri" w:cs="Calibri"/>
                <w:b/>
                <w:color w:val="111111"/>
                <w:sz w:val="18"/>
                <w:szCs w:val="18"/>
              </w:rPr>
              <w:t>Difference between Original Estimate and Revised Estimate</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B5DB419"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24D2DDFA" w14:textId="77777777" w:rsidR="002117B2" w:rsidRDefault="002117B2">
            <w:pPr>
              <w:spacing w:after="0"/>
              <w:ind w:left="2" w:right="2"/>
              <w:jc w:val="center"/>
            </w:pPr>
          </w:p>
        </w:tc>
      </w:tr>
      <w:tr w:rsidR="002117B2" w14:paraId="4CA4FDD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CB28953"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84B2878"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65C4C0D"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DDE5AFF"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655E565"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84E17CE"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6F3F195"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787C05C"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DEB8474"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F4539B9" w14:textId="77777777" w:rsidR="002117B2" w:rsidRDefault="00616284">
            <w:pPr>
              <w:spacing w:after="0"/>
              <w:ind w:left="2" w:right="2"/>
              <w:jc w:val="center"/>
            </w:pPr>
            <w:r>
              <w:rPr>
                <w:rFonts w:ascii="Calibri" w:eastAsia="Calibri" w:hAnsi="Calibri" w:cs="Calibri"/>
                <w:color w:val="111111"/>
                <w:sz w:val="18"/>
                <w:szCs w:val="18"/>
              </w:rPr>
              <w:t>PCBs (kg)</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DC4310C"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3A9A4DBC" w14:textId="77777777" w:rsidR="002117B2" w:rsidRDefault="002117B2">
            <w:pPr>
              <w:spacing w:after="0"/>
              <w:ind w:left="2" w:right="2"/>
              <w:jc w:val="center"/>
            </w:pPr>
          </w:p>
        </w:tc>
      </w:tr>
      <w:tr w:rsidR="002117B2" w14:paraId="1260A94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0ABD595"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B2DAE37"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813BD5" w14:textId="77777777" w:rsidR="002117B2" w:rsidRDefault="00616284">
            <w:pPr>
              <w:spacing w:after="0"/>
              <w:ind w:left="2" w:right="2"/>
            </w:pPr>
            <w:r>
              <w:rPr>
                <w:rFonts w:ascii="Calibri" w:eastAsia="Calibri" w:hAnsi="Calibri" w:cs="Calibri"/>
                <w:color w:val="111111"/>
                <w:sz w:val="18"/>
                <w:szCs w:val="18"/>
              </w:rPr>
              <w:t>0.007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E161F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796B2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105FC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37408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B2DF1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257F1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88D032"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A7F544"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4790924" w14:textId="77777777" w:rsidR="002117B2" w:rsidRDefault="002117B2">
            <w:pPr>
              <w:spacing w:after="0"/>
              <w:ind w:left="2" w:right="2"/>
            </w:pPr>
          </w:p>
        </w:tc>
      </w:tr>
      <w:tr w:rsidR="002117B2" w14:paraId="7A3E80D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14BFF83"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B9606D3"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90BC5F" w14:textId="77777777" w:rsidR="002117B2" w:rsidRDefault="00616284">
            <w:pPr>
              <w:spacing w:after="0"/>
              <w:ind w:left="2" w:right="2"/>
            </w:pPr>
            <w:r>
              <w:rPr>
                <w:rFonts w:ascii="Calibri" w:eastAsia="Calibri" w:hAnsi="Calibri" w:cs="Calibri"/>
                <w:color w:val="111111"/>
                <w:sz w:val="18"/>
                <w:szCs w:val="18"/>
              </w:rPr>
              <w:t>0.062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975BC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A7F3C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3ED12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EAE58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73C7B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C11A9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24B571"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51938E"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B9690D2" w14:textId="77777777" w:rsidR="002117B2" w:rsidRDefault="002117B2">
            <w:pPr>
              <w:spacing w:after="0"/>
              <w:ind w:left="2" w:right="2"/>
            </w:pPr>
          </w:p>
        </w:tc>
      </w:tr>
      <w:tr w:rsidR="002117B2" w14:paraId="5D55AA6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AE25715"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8338E7A"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EDD3F6" w14:textId="77777777" w:rsidR="002117B2" w:rsidRDefault="00616284">
            <w:pPr>
              <w:spacing w:after="0"/>
              <w:ind w:left="2" w:right="2"/>
            </w:pPr>
            <w:r>
              <w:rPr>
                <w:rFonts w:ascii="Calibri" w:eastAsia="Calibri" w:hAnsi="Calibri" w:cs="Calibri"/>
                <w:color w:val="111111"/>
                <w:sz w:val="18"/>
                <w:szCs w:val="18"/>
              </w:rPr>
              <w:t>-0.044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E93E9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12DF8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1517A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38451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BE854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0ACDA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7F6A1D"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169F18"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7E23D48" w14:textId="77777777" w:rsidR="002117B2" w:rsidRDefault="002117B2">
            <w:pPr>
              <w:spacing w:after="0"/>
              <w:ind w:left="2" w:right="2"/>
            </w:pPr>
          </w:p>
        </w:tc>
      </w:tr>
      <w:tr w:rsidR="002117B2" w14:paraId="5C2A36D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A76200F"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0B8AA9A"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75B6E8" w14:textId="77777777" w:rsidR="002117B2" w:rsidRDefault="00616284">
            <w:pPr>
              <w:spacing w:after="0"/>
              <w:ind w:left="2" w:right="2"/>
            </w:pPr>
            <w:r>
              <w:rPr>
                <w:rFonts w:ascii="Calibri" w:eastAsia="Calibri" w:hAnsi="Calibri" w:cs="Calibri"/>
                <w:color w:val="111111"/>
                <w:sz w:val="18"/>
                <w:szCs w:val="18"/>
              </w:rPr>
              <w:t>0.040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F6976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1B424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CB75C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729CD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F8223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44D18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27CB96"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BA30A2"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6E862FC" w14:textId="77777777" w:rsidR="002117B2" w:rsidRDefault="002117B2">
            <w:pPr>
              <w:spacing w:after="0"/>
              <w:ind w:left="2" w:right="2"/>
            </w:pPr>
          </w:p>
        </w:tc>
      </w:tr>
      <w:tr w:rsidR="002117B2" w14:paraId="2D358AA2"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A87838A"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BCE3B5F"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C8771D" w14:textId="77777777" w:rsidR="002117B2" w:rsidRDefault="00616284">
            <w:pPr>
              <w:spacing w:after="0"/>
              <w:ind w:left="2" w:right="2"/>
            </w:pPr>
            <w:r>
              <w:rPr>
                <w:rFonts w:ascii="Calibri" w:eastAsia="Calibri" w:hAnsi="Calibri" w:cs="Calibri"/>
                <w:color w:val="111111"/>
                <w:sz w:val="18"/>
                <w:szCs w:val="18"/>
              </w:rPr>
              <w:t>0.073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8E77F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9C1B4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D09FD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908B3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3998D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A9649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85EC8B"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D086F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ED64582" w14:textId="77777777" w:rsidR="002117B2" w:rsidRDefault="002117B2">
            <w:pPr>
              <w:spacing w:after="0"/>
              <w:ind w:left="2" w:right="2"/>
            </w:pPr>
          </w:p>
        </w:tc>
      </w:tr>
      <w:tr w:rsidR="002117B2" w14:paraId="6882582A"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A142CCF" w14:textId="77777777" w:rsidR="002117B2" w:rsidRDefault="002117B2">
            <w:pPr>
              <w:spacing w:after="0"/>
              <w:ind w:left="2" w:right="2"/>
              <w:jc w:val="center"/>
            </w:pPr>
          </w:p>
        </w:tc>
        <w:tc>
          <w:tcPr>
            <w:tcW w:w="1008" w:type="dxa"/>
            <w:tcBorders>
              <w:bottom w:val="single" w:sz="8" w:space="0" w:color="000000"/>
            </w:tcBorders>
            <w:shd w:val="clear" w:color="auto" w:fill="BDD7EE"/>
            <w:tcMar>
              <w:top w:w="0" w:type="dxa"/>
              <w:left w:w="0" w:type="dxa"/>
              <w:bottom w:w="0" w:type="dxa"/>
              <w:right w:w="0" w:type="dxa"/>
            </w:tcMar>
            <w:vAlign w:val="center"/>
          </w:tcPr>
          <w:p w14:paraId="7307F7BC"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13B7CEED"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0D8A15AB"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056E041C"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68A0687B"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6CD52D5E"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493A6490"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6030B410"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4778BC27"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7DD7050C"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3CE9983E" w14:textId="77777777" w:rsidR="002117B2" w:rsidRDefault="002117B2">
            <w:pPr>
              <w:spacing w:after="0"/>
              <w:ind w:left="2" w:right="2"/>
            </w:pPr>
          </w:p>
        </w:tc>
      </w:tr>
    </w:tbl>
    <w:p w14:paraId="6B7D34B2" w14:textId="77777777" w:rsidR="002117B2" w:rsidRDefault="00616284">
      <w:r>
        <w:br w:type="page"/>
      </w:r>
    </w:p>
    <w:tbl>
      <w:tblPr>
        <w:tblW w:w="9360" w:type="dxa"/>
        <w:jc w:val="center"/>
        <w:tblLayout w:type="fixed"/>
        <w:tblLook w:val="0420" w:firstRow="1" w:lastRow="0" w:firstColumn="0" w:lastColumn="0" w:noHBand="0" w:noVBand="1"/>
      </w:tblPr>
      <w:tblGrid>
        <w:gridCol w:w="216"/>
        <w:gridCol w:w="1008"/>
        <w:gridCol w:w="756"/>
        <w:gridCol w:w="756"/>
        <w:gridCol w:w="756"/>
        <w:gridCol w:w="756"/>
        <w:gridCol w:w="756"/>
        <w:gridCol w:w="756"/>
        <w:gridCol w:w="756"/>
        <w:gridCol w:w="756"/>
        <w:gridCol w:w="1872"/>
        <w:gridCol w:w="216"/>
      </w:tblGrid>
      <w:tr w:rsidR="002117B2" w14:paraId="093D39E0"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D5B9104" w14:textId="77777777" w:rsidR="002117B2" w:rsidRDefault="00616284">
            <w:pPr>
              <w:spacing w:after="0"/>
              <w:ind w:left="2" w:right="2"/>
              <w:jc w:val="center"/>
            </w:pPr>
            <w:r>
              <w:rPr>
                <w:rFonts w:ascii="Calibri" w:eastAsia="Calibri" w:hAnsi="Calibri" w:cs="Calibri"/>
                <w:b/>
                <w:color w:val="FFFFFF"/>
                <w:sz w:val="18"/>
                <w:szCs w:val="18"/>
              </w:rPr>
              <w:t>1</w:t>
            </w:r>
          </w:p>
        </w:tc>
        <w:tc>
          <w:tcPr>
            <w:tcW w:w="1008" w:type="dxa"/>
            <w:tcBorders>
              <w:top w:val="single" w:sz="8" w:space="0" w:color="000000"/>
            </w:tcBorders>
            <w:shd w:val="clear" w:color="auto" w:fill="BDD7EE"/>
            <w:tcMar>
              <w:top w:w="0" w:type="dxa"/>
              <w:left w:w="0" w:type="dxa"/>
              <w:bottom w:w="0" w:type="dxa"/>
              <w:right w:w="0" w:type="dxa"/>
            </w:tcMar>
            <w:vAlign w:val="center"/>
          </w:tcPr>
          <w:p w14:paraId="7CD72622"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64DEE4D4"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55FD8A3B"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7AACE4E1"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55D577B5"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795E5136"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325E8B7D"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701A1273" w14:textId="77777777" w:rsidR="002117B2" w:rsidRDefault="002117B2">
            <w:pPr>
              <w:spacing w:after="0"/>
              <w:ind w:left="2" w:right="2"/>
            </w:pPr>
          </w:p>
        </w:tc>
        <w:tc>
          <w:tcPr>
            <w:tcW w:w="756" w:type="dxa"/>
            <w:tcBorders>
              <w:top w:val="single" w:sz="8" w:space="0" w:color="000000"/>
            </w:tcBorders>
            <w:shd w:val="clear" w:color="auto" w:fill="BDD7EE"/>
            <w:tcMar>
              <w:top w:w="0" w:type="dxa"/>
              <w:left w:w="0" w:type="dxa"/>
              <w:bottom w:w="0" w:type="dxa"/>
              <w:right w:w="0" w:type="dxa"/>
            </w:tcMar>
            <w:vAlign w:val="center"/>
          </w:tcPr>
          <w:p w14:paraId="3342B007" w14:textId="77777777" w:rsidR="002117B2" w:rsidRDefault="002117B2">
            <w:pPr>
              <w:spacing w:after="0"/>
              <w:ind w:left="2" w:right="2"/>
            </w:pPr>
          </w:p>
        </w:tc>
        <w:tc>
          <w:tcPr>
            <w:tcW w:w="1872" w:type="dxa"/>
            <w:tcBorders>
              <w:top w:val="single" w:sz="8" w:space="0" w:color="000000"/>
            </w:tcBorders>
            <w:shd w:val="clear" w:color="auto" w:fill="BDD7EE"/>
            <w:tcMar>
              <w:top w:w="0" w:type="dxa"/>
              <w:left w:w="0" w:type="dxa"/>
              <w:bottom w:w="0" w:type="dxa"/>
              <w:right w:w="0" w:type="dxa"/>
            </w:tcMar>
            <w:vAlign w:val="center"/>
          </w:tcPr>
          <w:p w14:paraId="2067C5E6" w14:textId="77777777" w:rsidR="002117B2" w:rsidRDefault="002117B2">
            <w:pPr>
              <w:spacing w:after="0"/>
              <w:ind w:left="2" w:right="2"/>
            </w:pPr>
          </w:p>
        </w:tc>
        <w:tc>
          <w:tcPr>
            <w:tcW w:w="216" w:type="dxa"/>
            <w:tcBorders>
              <w:top w:val="single" w:sz="8" w:space="0" w:color="000000"/>
              <w:right w:val="single" w:sz="8" w:space="0" w:color="000000"/>
            </w:tcBorders>
            <w:shd w:val="clear" w:color="auto" w:fill="BDD7EE"/>
            <w:tcMar>
              <w:top w:w="0" w:type="dxa"/>
              <w:left w:w="0" w:type="dxa"/>
              <w:bottom w:w="0" w:type="dxa"/>
              <w:right w:w="0" w:type="dxa"/>
            </w:tcMar>
            <w:vAlign w:val="center"/>
          </w:tcPr>
          <w:p w14:paraId="481FDBBA" w14:textId="77777777" w:rsidR="002117B2" w:rsidRDefault="002117B2">
            <w:pPr>
              <w:spacing w:after="0"/>
              <w:ind w:left="2" w:right="2"/>
            </w:pPr>
          </w:p>
        </w:tc>
      </w:tr>
      <w:tr w:rsidR="002117B2" w14:paraId="6F24666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CE20EE9"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762AD87" w14:textId="77777777" w:rsidR="002117B2" w:rsidRDefault="00616284">
            <w:pPr>
              <w:spacing w:after="0"/>
              <w:ind w:left="2" w:right="2"/>
            </w:pPr>
            <w:r>
              <w:rPr>
                <w:rFonts w:ascii="Calibri" w:eastAsia="Calibri" w:hAnsi="Calibri" w:cs="Calibri"/>
                <w:color w:val="111111"/>
                <w:sz w:val="18"/>
                <w:szCs w:val="18"/>
              </w:rPr>
              <w:t>EMRT ID:</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A7E650" w14:textId="77777777" w:rsidR="002117B2" w:rsidRDefault="00616284">
            <w:pPr>
              <w:spacing w:after="0"/>
              <w:ind w:left="2" w:right="2"/>
            </w:pPr>
            <w:r>
              <w:rPr>
                <w:rFonts w:ascii="Calibri" w:eastAsia="Calibri" w:hAnsi="Calibri" w:cs="Calibri"/>
                <w:color w:val="111111"/>
                <w:sz w:val="18"/>
                <w:szCs w:val="18"/>
              </w:rPr>
              <w:t>LT-1B2aiv-2018-0001</w:t>
            </w:r>
          </w:p>
        </w:tc>
        <w:tc>
          <w:tcPr>
            <w:tcW w:w="216" w:type="dxa"/>
            <w:tcBorders>
              <w:right w:val="single" w:sz="8" w:space="0" w:color="000000"/>
            </w:tcBorders>
            <w:shd w:val="clear" w:color="auto" w:fill="BDD7EE"/>
            <w:tcMar>
              <w:top w:w="0" w:type="dxa"/>
              <w:left w:w="0" w:type="dxa"/>
              <w:bottom w:w="0" w:type="dxa"/>
              <w:right w:w="0" w:type="dxa"/>
            </w:tcMar>
            <w:vAlign w:val="center"/>
          </w:tcPr>
          <w:p w14:paraId="673B75D5" w14:textId="77777777" w:rsidR="002117B2" w:rsidRDefault="002117B2">
            <w:pPr>
              <w:spacing w:after="0"/>
              <w:ind w:left="2" w:right="2"/>
            </w:pPr>
          </w:p>
        </w:tc>
      </w:tr>
      <w:tr w:rsidR="002117B2" w14:paraId="7356789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27AAC67"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734E3D5" w14:textId="77777777" w:rsidR="002117B2" w:rsidRDefault="00616284">
            <w:pPr>
              <w:spacing w:after="0"/>
              <w:ind w:left="2" w:right="2"/>
            </w:pPr>
            <w:r>
              <w:rPr>
                <w:rFonts w:ascii="Calibri" w:eastAsia="Calibri" w:hAnsi="Calibri" w:cs="Calibri"/>
                <w:color w:val="111111"/>
                <w:sz w:val="18"/>
                <w:szCs w:val="18"/>
              </w:rPr>
              <w:t>EMRT URL:</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1511E2" w14:textId="77777777" w:rsidR="002117B2" w:rsidRDefault="00616284">
            <w:pPr>
              <w:spacing w:after="0"/>
              <w:ind w:left="2" w:right="2"/>
            </w:pPr>
            <w:r>
              <w:rPr>
                <w:rFonts w:ascii="Calibri" w:eastAsia="Calibri" w:hAnsi="Calibri" w:cs="Calibri"/>
                <w:color w:val="111111"/>
                <w:sz w:val="18"/>
                <w:szCs w:val="18"/>
              </w:rPr>
              <w:t>https://emrt-necd.eionet.europa.eu/2020/LT-1B2aiv-2018-0001</w:t>
            </w:r>
          </w:p>
        </w:tc>
        <w:tc>
          <w:tcPr>
            <w:tcW w:w="216" w:type="dxa"/>
            <w:tcBorders>
              <w:right w:val="single" w:sz="8" w:space="0" w:color="000000"/>
            </w:tcBorders>
            <w:shd w:val="clear" w:color="auto" w:fill="BDD7EE"/>
            <w:tcMar>
              <w:top w:w="0" w:type="dxa"/>
              <w:left w:w="0" w:type="dxa"/>
              <w:bottom w:w="0" w:type="dxa"/>
              <w:right w:w="0" w:type="dxa"/>
            </w:tcMar>
            <w:vAlign w:val="center"/>
          </w:tcPr>
          <w:p w14:paraId="3A5BEB16" w14:textId="77777777" w:rsidR="002117B2" w:rsidRDefault="002117B2">
            <w:pPr>
              <w:spacing w:after="0"/>
              <w:ind w:left="2" w:right="2"/>
            </w:pPr>
          </w:p>
        </w:tc>
      </w:tr>
      <w:tr w:rsidR="002117B2" w14:paraId="75F710A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75E2621"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1E9AD02" w14:textId="77777777" w:rsidR="002117B2" w:rsidRDefault="00616284">
            <w:pPr>
              <w:spacing w:after="0"/>
              <w:ind w:left="2" w:right="2"/>
            </w:pPr>
            <w:r>
              <w:rPr>
                <w:rFonts w:ascii="Calibri" w:eastAsia="Calibri" w:hAnsi="Calibri" w:cs="Calibri"/>
                <w:color w:val="111111"/>
                <w:sz w:val="18"/>
                <w:szCs w:val="18"/>
              </w:rPr>
              <w:t>Member State:</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9F0A95" w14:textId="77777777" w:rsidR="002117B2" w:rsidRDefault="00616284">
            <w:pPr>
              <w:spacing w:after="0"/>
              <w:ind w:left="2" w:right="2"/>
            </w:pPr>
            <w:r>
              <w:rPr>
                <w:rFonts w:ascii="Calibri" w:eastAsia="Calibri" w:hAnsi="Calibri" w:cs="Calibri"/>
                <w:color w:val="111111"/>
                <w:sz w:val="18"/>
                <w:szCs w:val="18"/>
              </w:rPr>
              <w:t>Lithuania</w:t>
            </w:r>
          </w:p>
        </w:tc>
        <w:tc>
          <w:tcPr>
            <w:tcW w:w="216" w:type="dxa"/>
            <w:tcBorders>
              <w:right w:val="single" w:sz="8" w:space="0" w:color="000000"/>
            </w:tcBorders>
            <w:shd w:val="clear" w:color="auto" w:fill="BDD7EE"/>
            <w:tcMar>
              <w:top w:w="0" w:type="dxa"/>
              <w:left w:w="0" w:type="dxa"/>
              <w:bottom w:w="0" w:type="dxa"/>
              <w:right w:w="0" w:type="dxa"/>
            </w:tcMar>
            <w:vAlign w:val="center"/>
          </w:tcPr>
          <w:p w14:paraId="4C65BC56" w14:textId="77777777" w:rsidR="002117B2" w:rsidRDefault="002117B2">
            <w:pPr>
              <w:spacing w:after="0"/>
              <w:ind w:left="2" w:right="2"/>
            </w:pPr>
          </w:p>
        </w:tc>
      </w:tr>
      <w:tr w:rsidR="002117B2" w14:paraId="12A57F3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2468F3E"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7F1F666" w14:textId="77777777" w:rsidR="002117B2" w:rsidRDefault="00616284">
            <w:pPr>
              <w:spacing w:after="0"/>
              <w:ind w:left="2" w:right="2"/>
            </w:pPr>
            <w:r>
              <w:rPr>
                <w:rFonts w:ascii="Calibri" w:eastAsia="Calibri" w:hAnsi="Calibri" w:cs="Calibri"/>
                <w:color w:val="111111"/>
                <w:sz w:val="18"/>
                <w:szCs w:val="18"/>
              </w:rPr>
              <w:t>Sector:</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86555C" w14:textId="5FE616AC" w:rsidR="002117B2" w:rsidRDefault="00616284">
            <w:pPr>
              <w:spacing w:after="0"/>
              <w:ind w:left="2" w:right="2"/>
            </w:pPr>
            <w:r>
              <w:rPr>
                <w:rFonts w:ascii="Calibri" w:eastAsia="Calibri" w:hAnsi="Calibri" w:cs="Calibri"/>
                <w:color w:val="111111"/>
                <w:sz w:val="18"/>
                <w:szCs w:val="18"/>
              </w:rPr>
              <w:t xml:space="preserve">1B2aiv Fugitive </w:t>
            </w:r>
            <w:r w:rsidR="00CD02E8">
              <w:rPr>
                <w:rFonts w:ascii="Calibri" w:eastAsia="Calibri" w:hAnsi="Calibri" w:cs="Calibri"/>
                <w:color w:val="111111"/>
                <w:sz w:val="18"/>
                <w:szCs w:val="18"/>
              </w:rPr>
              <w:t xml:space="preserve">Emissions Oil: </w:t>
            </w:r>
            <w:r>
              <w:rPr>
                <w:rFonts w:ascii="Calibri" w:eastAsia="Calibri" w:hAnsi="Calibri" w:cs="Calibri"/>
                <w:color w:val="111111"/>
                <w:sz w:val="18"/>
                <w:szCs w:val="18"/>
              </w:rPr>
              <w:t xml:space="preserve">Refining </w:t>
            </w:r>
            <w:r w:rsidR="00CD02E8">
              <w:rPr>
                <w:rFonts w:ascii="Calibri" w:eastAsia="Calibri" w:hAnsi="Calibri" w:cs="Calibri"/>
                <w:color w:val="111111"/>
                <w:sz w:val="18"/>
                <w:szCs w:val="18"/>
              </w:rPr>
              <w:t>/ Storage</w:t>
            </w:r>
          </w:p>
        </w:tc>
        <w:tc>
          <w:tcPr>
            <w:tcW w:w="216" w:type="dxa"/>
            <w:tcBorders>
              <w:right w:val="single" w:sz="8" w:space="0" w:color="000000"/>
            </w:tcBorders>
            <w:shd w:val="clear" w:color="auto" w:fill="BDD7EE"/>
            <w:tcMar>
              <w:top w:w="0" w:type="dxa"/>
              <w:left w:w="0" w:type="dxa"/>
              <w:bottom w:w="0" w:type="dxa"/>
              <w:right w:w="0" w:type="dxa"/>
            </w:tcMar>
            <w:vAlign w:val="center"/>
          </w:tcPr>
          <w:p w14:paraId="04858E01" w14:textId="77777777" w:rsidR="002117B2" w:rsidRDefault="002117B2">
            <w:pPr>
              <w:spacing w:after="0"/>
              <w:ind w:left="2" w:right="2"/>
            </w:pPr>
          </w:p>
        </w:tc>
      </w:tr>
      <w:tr w:rsidR="002117B2" w14:paraId="1038CAA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20DA243"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016E346" w14:textId="77777777" w:rsidR="002117B2" w:rsidRDefault="00616284">
            <w:pPr>
              <w:spacing w:after="0"/>
              <w:ind w:left="2" w:right="2"/>
            </w:pPr>
            <w:r>
              <w:rPr>
                <w:rFonts w:ascii="Calibri" w:eastAsia="Calibri" w:hAnsi="Calibri" w:cs="Calibri"/>
                <w:color w:val="111111"/>
                <w:sz w:val="18"/>
                <w:szCs w:val="18"/>
              </w:rPr>
              <w:t>Pollutants:</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199C84" w14:textId="77777777" w:rsidR="002117B2" w:rsidRDefault="00616284">
            <w:pPr>
              <w:spacing w:after="0"/>
              <w:ind w:left="2" w:right="2"/>
            </w:pPr>
            <w:r>
              <w:rPr>
                <w:rFonts w:ascii="Calibri" w:eastAsia="Calibri" w:hAnsi="Calibri" w:cs="Calibri"/>
                <w:color w:val="111111"/>
                <w:sz w:val="18"/>
                <w:szCs w:val="18"/>
              </w:rPr>
              <w:t>Cd, Hg, Pb</w:t>
            </w:r>
          </w:p>
        </w:tc>
        <w:tc>
          <w:tcPr>
            <w:tcW w:w="216" w:type="dxa"/>
            <w:tcBorders>
              <w:right w:val="single" w:sz="8" w:space="0" w:color="000000"/>
            </w:tcBorders>
            <w:shd w:val="clear" w:color="auto" w:fill="BDD7EE"/>
            <w:tcMar>
              <w:top w:w="0" w:type="dxa"/>
              <w:left w:w="0" w:type="dxa"/>
              <w:bottom w:w="0" w:type="dxa"/>
              <w:right w:w="0" w:type="dxa"/>
            </w:tcMar>
            <w:vAlign w:val="center"/>
          </w:tcPr>
          <w:p w14:paraId="4696549C" w14:textId="77777777" w:rsidR="002117B2" w:rsidRDefault="002117B2">
            <w:pPr>
              <w:spacing w:after="0"/>
              <w:ind w:left="2" w:right="2"/>
            </w:pPr>
          </w:p>
        </w:tc>
      </w:tr>
      <w:tr w:rsidR="002117B2" w14:paraId="0CD628E4"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DC3244F"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254DB04" w14:textId="77777777" w:rsidR="002117B2" w:rsidRDefault="00616284">
            <w:pPr>
              <w:spacing w:after="0"/>
              <w:ind w:left="2" w:right="2"/>
            </w:pPr>
            <w:r>
              <w:rPr>
                <w:rFonts w:ascii="Calibri" w:eastAsia="Calibri" w:hAnsi="Calibri" w:cs="Calibri"/>
                <w:color w:val="111111"/>
                <w:sz w:val="18"/>
                <w:szCs w:val="18"/>
              </w:rPr>
              <w:t>Completed by (SE):</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630D15" w14:textId="77777777" w:rsidR="002117B2" w:rsidRDefault="00616284">
            <w:pPr>
              <w:spacing w:after="0"/>
              <w:ind w:left="2" w:right="2"/>
            </w:pPr>
            <w:r>
              <w:rPr>
                <w:rFonts w:ascii="Calibri" w:eastAsia="Calibri" w:hAnsi="Calibri" w:cs="Calibri"/>
                <w:color w:val="111111"/>
                <w:sz w:val="18"/>
                <w:szCs w:val="18"/>
              </w:rPr>
              <w:t>Marlene Schmidt Plejdrup</w:t>
            </w:r>
          </w:p>
        </w:tc>
        <w:tc>
          <w:tcPr>
            <w:tcW w:w="216" w:type="dxa"/>
            <w:tcBorders>
              <w:right w:val="single" w:sz="8" w:space="0" w:color="000000"/>
            </w:tcBorders>
            <w:shd w:val="clear" w:color="auto" w:fill="BDD7EE"/>
            <w:tcMar>
              <w:top w:w="0" w:type="dxa"/>
              <w:left w:w="0" w:type="dxa"/>
              <w:bottom w:w="0" w:type="dxa"/>
              <w:right w:w="0" w:type="dxa"/>
            </w:tcMar>
            <w:vAlign w:val="center"/>
          </w:tcPr>
          <w:p w14:paraId="3EF9B65F" w14:textId="77777777" w:rsidR="002117B2" w:rsidRDefault="002117B2">
            <w:pPr>
              <w:spacing w:after="0"/>
              <w:ind w:left="2" w:right="2"/>
            </w:pPr>
          </w:p>
        </w:tc>
      </w:tr>
      <w:tr w:rsidR="002117B2" w14:paraId="382D678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EEB6628"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7BAD043" w14:textId="77777777" w:rsidR="002117B2" w:rsidRDefault="00616284">
            <w:pPr>
              <w:spacing w:after="0"/>
              <w:ind w:left="2" w:right="2"/>
            </w:pPr>
            <w:r>
              <w:rPr>
                <w:rFonts w:ascii="Calibri" w:eastAsia="Calibri" w:hAnsi="Calibri" w:cs="Calibri"/>
                <w:color w:val="111111"/>
                <w:sz w:val="18"/>
                <w:szCs w:val="18"/>
              </w:rPr>
              <w:t>Reviewed by (LR):</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D4A255" w14:textId="77777777" w:rsidR="002117B2" w:rsidRDefault="00616284">
            <w:pPr>
              <w:spacing w:after="0"/>
              <w:ind w:left="2" w:right="2"/>
            </w:pPr>
            <w:r>
              <w:rPr>
                <w:rFonts w:ascii="Calibri" w:eastAsia="Calibri" w:hAnsi="Calibri" w:cs="Calibri"/>
                <w:color w:val="111111"/>
                <w:sz w:val="18"/>
                <w:szCs w:val="18"/>
              </w:rPr>
              <w:t>Justin Goodwin</w:t>
            </w:r>
          </w:p>
        </w:tc>
        <w:tc>
          <w:tcPr>
            <w:tcW w:w="216" w:type="dxa"/>
            <w:tcBorders>
              <w:right w:val="single" w:sz="8" w:space="0" w:color="000000"/>
            </w:tcBorders>
            <w:shd w:val="clear" w:color="auto" w:fill="BDD7EE"/>
            <w:tcMar>
              <w:top w:w="0" w:type="dxa"/>
              <w:left w:w="0" w:type="dxa"/>
              <w:bottom w:w="0" w:type="dxa"/>
              <w:right w:w="0" w:type="dxa"/>
            </w:tcMar>
            <w:vAlign w:val="center"/>
          </w:tcPr>
          <w:p w14:paraId="7C648ACA" w14:textId="77777777" w:rsidR="002117B2" w:rsidRDefault="002117B2">
            <w:pPr>
              <w:spacing w:after="0"/>
              <w:ind w:left="2" w:right="2"/>
            </w:pPr>
          </w:p>
        </w:tc>
      </w:tr>
      <w:tr w:rsidR="002117B2" w14:paraId="7A466EB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0E8D772"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F9DF580" w14:textId="77777777" w:rsidR="002117B2" w:rsidRDefault="00616284">
            <w:pPr>
              <w:spacing w:after="0"/>
              <w:ind w:left="2" w:right="2"/>
            </w:pPr>
            <w:r>
              <w:rPr>
                <w:rFonts w:ascii="Calibri" w:eastAsia="Calibri" w:hAnsi="Calibri" w:cs="Calibri"/>
                <w:color w:val="111111"/>
                <w:sz w:val="18"/>
                <w:szCs w:val="18"/>
              </w:rPr>
              <w:t>Reviewed by (Counterpart):</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DFF51C" w14:textId="77777777" w:rsidR="002117B2" w:rsidRDefault="00616284">
            <w:pPr>
              <w:spacing w:after="0"/>
              <w:ind w:left="2" w:right="2"/>
            </w:pPr>
            <w:r>
              <w:rPr>
                <w:rFonts w:ascii="Calibri" w:eastAsia="Calibri" w:hAnsi="Calibri" w:cs="Calibri"/>
                <w:color w:val="111111"/>
                <w:sz w:val="18"/>
                <w:szCs w:val="18"/>
              </w:rPr>
              <w:t>Stijn  Dellaert</w:t>
            </w:r>
          </w:p>
        </w:tc>
        <w:tc>
          <w:tcPr>
            <w:tcW w:w="216" w:type="dxa"/>
            <w:tcBorders>
              <w:right w:val="single" w:sz="8" w:space="0" w:color="000000"/>
            </w:tcBorders>
            <w:shd w:val="clear" w:color="auto" w:fill="BDD7EE"/>
            <w:tcMar>
              <w:top w:w="0" w:type="dxa"/>
              <w:left w:w="0" w:type="dxa"/>
              <w:bottom w:w="0" w:type="dxa"/>
              <w:right w:w="0" w:type="dxa"/>
            </w:tcMar>
            <w:vAlign w:val="center"/>
          </w:tcPr>
          <w:p w14:paraId="0FCB0333" w14:textId="77777777" w:rsidR="002117B2" w:rsidRDefault="002117B2">
            <w:pPr>
              <w:spacing w:after="0"/>
              <w:ind w:left="2" w:right="2"/>
            </w:pPr>
          </w:p>
        </w:tc>
      </w:tr>
      <w:tr w:rsidR="002117B2" w14:paraId="510C5379"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B11CB8D"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4BACA3E" w14:textId="77777777" w:rsidR="002117B2" w:rsidRDefault="00616284">
            <w:pPr>
              <w:spacing w:after="0"/>
              <w:ind w:left="2" w:right="2"/>
            </w:pPr>
            <w:r>
              <w:rPr>
                <w:rFonts w:ascii="Calibri" w:eastAsia="Calibri" w:hAnsi="Calibri" w:cs="Calibri"/>
                <w:color w:val="111111"/>
                <w:sz w:val="18"/>
                <w:szCs w:val="18"/>
              </w:rPr>
              <w:t>Reviewed by (Quality Controller):</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EDADA0" w14:textId="77777777" w:rsidR="002117B2" w:rsidRDefault="00616284">
            <w:pPr>
              <w:spacing w:after="0"/>
              <w:ind w:left="2" w:right="2"/>
            </w:pPr>
            <w:r>
              <w:rPr>
                <w:rFonts w:ascii="Calibri" w:eastAsia="Calibri" w:hAnsi="Calibri" w:cs="Calibri"/>
                <w:color w:val="111111"/>
                <w:sz w:val="18"/>
                <w:szCs w:val="18"/>
              </w:rPr>
              <w:t>Chris Dore</w:t>
            </w:r>
          </w:p>
        </w:tc>
        <w:tc>
          <w:tcPr>
            <w:tcW w:w="216" w:type="dxa"/>
            <w:tcBorders>
              <w:right w:val="single" w:sz="8" w:space="0" w:color="000000"/>
            </w:tcBorders>
            <w:shd w:val="clear" w:color="auto" w:fill="BDD7EE"/>
            <w:tcMar>
              <w:top w:w="0" w:type="dxa"/>
              <w:left w:w="0" w:type="dxa"/>
              <w:bottom w:w="0" w:type="dxa"/>
              <w:right w:w="0" w:type="dxa"/>
            </w:tcMar>
            <w:vAlign w:val="center"/>
          </w:tcPr>
          <w:p w14:paraId="052AABC5" w14:textId="77777777" w:rsidR="002117B2" w:rsidRDefault="002117B2">
            <w:pPr>
              <w:spacing w:after="0"/>
              <w:ind w:left="2" w:right="2"/>
            </w:pPr>
          </w:p>
        </w:tc>
      </w:tr>
      <w:tr w:rsidR="002117B2" w14:paraId="16F5A332"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0EB178E"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35F3912E"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5C156F72"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D614B2C"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588D99E5"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B55C7E6"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4E29700"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73C7A9AC"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DC5210C"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1E91A30D"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5428ED75"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412A8323" w14:textId="77777777" w:rsidR="002117B2" w:rsidRDefault="002117B2">
            <w:pPr>
              <w:spacing w:after="0"/>
              <w:ind w:left="2" w:right="2"/>
            </w:pPr>
          </w:p>
        </w:tc>
      </w:tr>
      <w:tr w:rsidR="002117B2" w14:paraId="425983D9"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8826198"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CE6F967" w14:textId="77777777" w:rsidR="002117B2" w:rsidRDefault="00616284">
            <w:pPr>
              <w:spacing w:after="0"/>
              <w:ind w:left="2" w:right="2"/>
            </w:pPr>
            <w:r>
              <w:rPr>
                <w:rFonts w:ascii="Calibri" w:eastAsia="Calibri" w:hAnsi="Calibri" w:cs="Calibri"/>
                <w:color w:val="111111"/>
                <w:sz w:val="18"/>
                <w:szCs w:val="18"/>
              </w:rPr>
              <w:t>The underlying problem:</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FAE7EA" w14:textId="77777777" w:rsidR="002117B2" w:rsidRDefault="00616284">
            <w:pPr>
              <w:spacing w:after="0"/>
              <w:ind w:left="2" w:right="2"/>
            </w:pPr>
            <w:r>
              <w:rPr>
                <w:rFonts w:ascii="Calibri" w:eastAsia="Calibri" w:hAnsi="Calibri" w:cs="Calibri"/>
                <w:color w:val="111111"/>
                <w:sz w:val="18"/>
                <w:szCs w:val="18"/>
              </w:rPr>
              <w:t>In the 2019 NECD review, Lithuania accepted to include the revised estimate for 1B2aiv for Cd, Hg and Pb in the next submission. The TERT notes that Cd, Hg and Pb are still reported as "NE" in the NFR. The 2016 EMEP/EEA Guidebook includes Tier 1 emission factors.</w:t>
            </w:r>
          </w:p>
        </w:tc>
        <w:tc>
          <w:tcPr>
            <w:tcW w:w="216" w:type="dxa"/>
            <w:tcBorders>
              <w:right w:val="single" w:sz="8" w:space="0" w:color="000000"/>
            </w:tcBorders>
            <w:shd w:val="clear" w:color="auto" w:fill="BDD7EE"/>
            <w:tcMar>
              <w:top w:w="0" w:type="dxa"/>
              <w:left w:w="0" w:type="dxa"/>
              <w:bottom w:w="0" w:type="dxa"/>
              <w:right w:w="0" w:type="dxa"/>
            </w:tcMar>
            <w:vAlign w:val="center"/>
          </w:tcPr>
          <w:p w14:paraId="7B9FF3D1" w14:textId="77777777" w:rsidR="002117B2" w:rsidRDefault="002117B2">
            <w:pPr>
              <w:spacing w:after="0"/>
              <w:ind w:left="2" w:right="2"/>
            </w:pPr>
          </w:p>
        </w:tc>
      </w:tr>
      <w:tr w:rsidR="002117B2" w14:paraId="1DEC664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F23FD76" w14:textId="77777777" w:rsidR="002117B2" w:rsidRDefault="002117B2">
            <w:pPr>
              <w:spacing w:after="0"/>
              <w:ind w:left="2" w:right="2"/>
              <w:jc w:val="center"/>
            </w:pPr>
          </w:p>
        </w:tc>
        <w:tc>
          <w:tcPr>
            <w:tcW w:w="2520" w:type="dxa"/>
            <w:gridSpan w:val="3"/>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2BF8BB5" w14:textId="77777777" w:rsidR="002117B2" w:rsidRDefault="00616284">
            <w:pPr>
              <w:spacing w:after="0"/>
              <w:ind w:left="2" w:right="2"/>
            </w:pPr>
            <w:r>
              <w:rPr>
                <w:rFonts w:ascii="Calibri" w:eastAsia="Calibri" w:hAnsi="Calibri" w:cs="Calibri"/>
                <w:color w:val="111111"/>
                <w:sz w:val="18"/>
                <w:szCs w:val="18"/>
              </w:rPr>
              <w:t>Summarise the methodology used:</w:t>
            </w:r>
          </w:p>
        </w:tc>
        <w:tc>
          <w:tcPr>
            <w:tcW w:w="64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5F71B4" w14:textId="77777777" w:rsidR="002117B2" w:rsidRDefault="00616284">
            <w:pPr>
              <w:spacing w:after="0"/>
              <w:ind w:left="2" w:right="2"/>
            </w:pPr>
            <w:r>
              <w:rPr>
                <w:rFonts w:ascii="Calibri" w:eastAsia="Calibri" w:hAnsi="Calibri" w:cs="Calibri"/>
                <w:color w:val="111111"/>
                <w:sz w:val="18"/>
                <w:szCs w:val="18"/>
              </w:rPr>
              <w:t>Emissions are estimated from the Tier 1 EMEP/EEA 2016 Guidebook emission factors and the activity data (crude oil refined) reported by Lithuania in the 2020 NFR.</w:t>
            </w:r>
          </w:p>
        </w:tc>
        <w:tc>
          <w:tcPr>
            <w:tcW w:w="216" w:type="dxa"/>
            <w:tcBorders>
              <w:right w:val="single" w:sz="8" w:space="0" w:color="000000"/>
            </w:tcBorders>
            <w:shd w:val="clear" w:color="auto" w:fill="BDD7EE"/>
            <w:tcMar>
              <w:top w:w="0" w:type="dxa"/>
              <w:left w:w="0" w:type="dxa"/>
              <w:bottom w:w="0" w:type="dxa"/>
              <w:right w:w="0" w:type="dxa"/>
            </w:tcMar>
            <w:vAlign w:val="center"/>
          </w:tcPr>
          <w:p w14:paraId="4D99BCCA" w14:textId="77777777" w:rsidR="002117B2" w:rsidRDefault="002117B2">
            <w:pPr>
              <w:spacing w:after="0"/>
              <w:ind w:left="2" w:right="2"/>
            </w:pPr>
          </w:p>
        </w:tc>
      </w:tr>
      <w:tr w:rsidR="002117B2" w14:paraId="3F24D768"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11C83EB" w14:textId="77777777" w:rsidR="002117B2" w:rsidRDefault="002117B2">
            <w:pPr>
              <w:spacing w:after="0"/>
              <w:ind w:left="2" w:right="2"/>
              <w:jc w:val="center"/>
            </w:pPr>
          </w:p>
        </w:tc>
        <w:tc>
          <w:tcPr>
            <w:tcW w:w="1008" w:type="dxa"/>
            <w:tcBorders>
              <w:bottom w:val="single" w:sz="8" w:space="0" w:color="000000"/>
            </w:tcBorders>
            <w:shd w:val="clear" w:color="auto" w:fill="BDD7EE"/>
            <w:tcMar>
              <w:top w:w="0" w:type="dxa"/>
              <w:left w:w="0" w:type="dxa"/>
              <w:bottom w:w="0" w:type="dxa"/>
              <w:right w:w="0" w:type="dxa"/>
            </w:tcMar>
            <w:vAlign w:val="center"/>
          </w:tcPr>
          <w:p w14:paraId="0DFD84D9"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51DE2E54"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53A440E1"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5F59D4F3"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144B469F"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26E0FB29"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20100C9E"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22C0D022"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59FD6DCF"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6A6A86A6"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13BC7017" w14:textId="77777777" w:rsidR="002117B2" w:rsidRDefault="002117B2">
            <w:pPr>
              <w:spacing w:after="0"/>
              <w:ind w:left="2" w:right="2"/>
            </w:pPr>
          </w:p>
        </w:tc>
      </w:tr>
      <w:tr w:rsidR="002117B2" w14:paraId="58C56504" w14:textId="77777777">
        <w:trPr>
          <w:cantSplit/>
          <w:jc w:val="center"/>
        </w:trPr>
        <w:tc>
          <w:tcPr>
            <w:tcW w:w="216" w:type="dxa"/>
            <w:vMerge w:val="restart"/>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3687B57" w14:textId="77777777" w:rsidR="002117B2" w:rsidRDefault="00616284">
            <w:pPr>
              <w:spacing w:after="0"/>
              <w:ind w:left="2" w:right="2"/>
              <w:jc w:val="center"/>
            </w:pPr>
            <w:r>
              <w:rPr>
                <w:rFonts w:ascii="Calibri" w:eastAsia="Calibri" w:hAnsi="Calibri" w:cs="Calibri"/>
                <w:b/>
                <w:color w:val="FFFFFF"/>
                <w:sz w:val="18"/>
                <w:szCs w:val="18"/>
              </w:rPr>
              <w:t>2</w:t>
            </w:r>
          </w:p>
        </w:tc>
        <w:tc>
          <w:tcPr>
            <w:tcW w:w="9144" w:type="dxa"/>
            <w:gridSpan w:val="11"/>
            <w:tcBorders>
              <w:top w:val="single" w:sz="8" w:space="0" w:color="000000"/>
            </w:tcBorders>
            <w:shd w:val="clear" w:color="auto" w:fill="BDD7EE"/>
            <w:tcMar>
              <w:top w:w="0" w:type="dxa"/>
              <w:left w:w="0" w:type="dxa"/>
              <w:bottom w:w="0" w:type="dxa"/>
              <w:right w:w="0" w:type="dxa"/>
            </w:tcMar>
            <w:vAlign w:val="center"/>
          </w:tcPr>
          <w:p w14:paraId="5A5061D1" w14:textId="77777777" w:rsidR="002117B2" w:rsidRDefault="00616284">
            <w:pPr>
              <w:spacing w:after="0"/>
              <w:ind w:left="2" w:right="2"/>
            </w:pPr>
            <w:r>
              <w:rPr>
                <w:rFonts w:ascii="Calibri" w:eastAsia="Calibri" w:hAnsi="Calibri" w:cs="Calibri"/>
                <w:b/>
                <w:color w:val="111111"/>
                <w:sz w:val="18"/>
                <w:szCs w:val="18"/>
              </w:rPr>
              <w:t>Details of the corrected estimate</w:t>
            </w:r>
          </w:p>
        </w:tc>
      </w:tr>
      <w:tr w:rsidR="002117B2" w14:paraId="4FFFFBAA"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7C13F58"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3BA7D43B"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085BD4B" w14:textId="77777777" w:rsidR="002117B2" w:rsidRDefault="00616284">
            <w:pPr>
              <w:spacing w:after="0"/>
              <w:ind w:left="2" w:right="2"/>
              <w:jc w:val="center"/>
            </w:pPr>
            <w:r>
              <w:rPr>
                <w:rFonts w:ascii="Calibri" w:eastAsia="Calibri" w:hAnsi="Calibri" w:cs="Calibri"/>
                <w:b/>
                <w:color w:val="111111"/>
                <w:sz w:val="18"/>
                <w:szCs w:val="18"/>
              </w:rPr>
              <w:t>Original Estimate</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5BBA244"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5A4CD122" w14:textId="77777777" w:rsidR="002117B2" w:rsidRDefault="002117B2">
            <w:pPr>
              <w:spacing w:after="0"/>
              <w:ind w:left="2" w:right="2"/>
              <w:jc w:val="center"/>
            </w:pPr>
          </w:p>
        </w:tc>
      </w:tr>
      <w:tr w:rsidR="002117B2" w14:paraId="3FC6A3E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A667B55"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89625CD"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334EC9B"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065ECEB"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13EE1E3"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46CBE99"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AD8B43F"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687A55C"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CDF9769"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8C05A95" w14:textId="77777777" w:rsidR="002117B2" w:rsidRDefault="00616284">
            <w:pPr>
              <w:spacing w:after="0"/>
              <w:ind w:left="2" w:right="2"/>
              <w:jc w:val="center"/>
            </w:pPr>
            <w:r>
              <w:rPr>
                <w:rFonts w:ascii="Calibri" w:eastAsia="Calibri" w:hAnsi="Calibri" w:cs="Calibri"/>
                <w:color w:val="111111"/>
                <w:sz w:val="18"/>
                <w:szCs w:val="18"/>
              </w:rPr>
              <w:t>PCBs (kg)</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65FCBE4"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441DA16D" w14:textId="77777777" w:rsidR="002117B2" w:rsidRDefault="002117B2">
            <w:pPr>
              <w:spacing w:after="0"/>
              <w:ind w:left="2" w:right="2"/>
              <w:jc w:val="center"/>
            </w:pPr>
          </w:p>
        </w:tc>
      </w:tr>
      <w:tr w:rsidR="002117B2" w14:paraId="050970D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28A651A"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2557946"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1A62AC"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483E11"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820D5C"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474D9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77E15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0D61E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71F92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70B214"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6C5972"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5B03C62" w14:textId="77777777" w:rsidR="002117B2" w:rsidRDefault="002117B2">
            <w:pPr>
              <w:spacing w:after="0"/>
              <w:ind w:left="2" w:right="2"/>
            </w:pPr>
          </w:p>
        </w:tc>
      </w:tr>
      <w:tr w:rsidR="002117B2" w14:paraId="2CE5788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63BB277"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B3A5373"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A042EA"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33C034"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6189BF"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EE2BC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12E88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70794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EAB0D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8F7D4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C5DDCA"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9DA75C9" w14:textId="77777777" w:rsidR="002117B2" w:rsidRDefault="002117B2">
            <w:pPr>
              <w:spacing w:after="0"/>
              <w:ind w:left="2" w:right="2"/>
            </w:pPr>
          </w:p>
        </w:tc>
      </w:tr>
      <w:tr w:rsidR="002117B2" w14:paraId="7CADD1DB"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A4D00EB"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7293493"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D2D954"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E80A9C"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EBEB1F"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A7FD1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A667A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E33FE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16FFF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65B2E4"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8CB5B7"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6A23DBA2" w14:textId="77777777" w:rsidR="002117B2" w:rsidRDefault="002117B2">
            <w:pPr>
              <w:spacing w:after="0"/>
              <w:ind w:left="2" w:right="2"/>
            </w:pPr>
          </w:p>
        </w:tc>
      </w:tr>
      <w:tr w:rsidR="002117B2" w14:paraId="641EF53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358B000"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C64CA23"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AB8E42"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7D6965"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41256E"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45A95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7ECAF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3D6DE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AD05C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C3E0EF"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9926D7"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573BCCE" w14:textId="77777777" w:rsidR="002117B2" w:rsidRDefault="002117B2">
            <w:pPr>
              <w:spacing w:after="0"/>
              <w:ind w:left="2" w:right="2"/>
            </w:pPr>
          </w:p>
        </w:tc>
      </w:tr>
      <w:tr w:rsidR="002117B2" w14:paraId="6C1CA76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2B30D2A"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A0CBC3A"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9DF135"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3B6D13"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D43E2E" w14:textId="77777777" w:rsidR="002117B2" w:rsidRDefault="00616284">
            <w:pPr>
              <w:spacing w:after="0"/>
              <w:ind w:left="2" w:right="2"/>
            </w:pPr>
            <w:r>
              <w:rPr>
                <w:rFonts w:ascii="Calibri" w:eastAsia="Calibri" w:hAnsi="Calibri" w:cs="Calibri"/>
                <w:color w:val="111111"/>
                <w:sz w:val="18"/>
                <w:szCs w:val="18"/>
              </w:rPr>
              <w:t>NE</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62411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686CD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24719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27510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5C4DD7"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22F1EB"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AA7A2C8" w14:textId="77777777" w:rsidR="002117B2" w:rsidRDefault="002117B2">
            <w:pPr>
              <w:spacing w:after="0"/>
              <w:ind w:left="2" w:right="2"/>
            </w:pPr>
          </w:p>
        </w:tc>
      </w:tr>
      <w:tr w:rsidR="002117B2" w14:paraId="7011D2A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24EDE9B"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46BE9F2C"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19ED4409"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E57DA12"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B55C559"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480B4E2"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8A81BDE"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7441DE59"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1DFC0035"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67A0BF1A"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1CD03E1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BEA8C35" w14:textId="77777777" w:rsidR="002117B2" w:rsidRDefault="002117B2">
            <w:pPr>
              <w:spacing w:after="0"/>
              <w:ind w:left="2" w:right="2"/>
            </w:pPr>
          </w:p>
        </w:tc>
      </w:tr>
      <w:tr w:rsidR="002117B2" w14:paraId="44CD1AE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6CA2A40"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44C3C945"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60D24D3" w14:textId="77777777" w:rsidR="002117B2" w:rsidRDefault="00616284">
            <w:pPr>
              <w:spacing w:after="0"/>
              <w:ind w:left="2" w:right="2"/>
              <w:jc w:val="center"/>
            </w:pPr>
            <w:r>
              <w:rPr>
                <w:rFonts w:ascii="Calibri" w:eastAsia="Calibri" w:hAnsi="Calibri" w:cs="Calibri"/>
                <w:b/>
                <w:color w:val="111111"/>
                <w:sz w:val="18"/>
                <w:szCs w:val="18"/>
              </w:rPr>
              <w:t>Revised Estimate received from MS</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14A7470"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0061D8F7" w14:textId="77777777" w:rsidR="002117B2" w:rsidRDefault="002117B2">
            <w:pPr>
              <w:spacing w:after="0"/>
              <w:ind w:left="2" w:right="2"/>
              <w:jc w:val="center"/>
            </w:pPr>
          </w:p>
        </w:tc>
      </w:tr>
      <w:tr w:rsidR="002117B2" w14:paraId="67AF1C6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B8DD8FA"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BC9B481"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41E8FDA"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38199FB"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DFCE85C"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A6AD16A"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EF087A1"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C900734"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C7115F5"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9641719" w14:textId="77777777" w:rsidR="002117B2" w:rsidRDefault="00616284">
            <w:pPr>
              <w:spacing w:after="0"/>
              <w:ind w:left="2" w:right="2"/>
              <w:jc w:val="center"/>
            </w:pPr>
            <w:r>
              <w:rPr>
                <w:rFonts w:ascii="Calibri" w:eastAsia="Calibri" w:hAnsi="Calibri" w:cs="Calibri"/>
                <w:color w:val="111111"/>
                <w:sz w:val="18"/>
                <w:szCs w:val="18"/>
              </w:rPr>
              <w:t>PCBs (kg)</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FD6CB4F"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4E427C80" w14:textId="77777777" w:rsidR="002117B2" w:rsidRDefault="002117B2">
            <w:pPr>
              <w:spacing w:after="0"/>
              <w:ind w:left="2" w:right="2"/>
              <w:jc w:val="center"/>
            </w:pPr>
          </w:p>
        </w:tc>
      </w:tr>
      <w:tr w:rsidR="002117B2" w14:paraId="5C345B1D"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3E2914F"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5ED6C5F"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636F32"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ADC693"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A7E771"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66C56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B0A53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BFE94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662E8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12C42F"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FD1732"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C6F7DA7" w14:textId="77777777" w:rsidR="002117B2" w:rsidRDefault="002117B2">
            <w:pPr>
              <w:spacing w:after="0"/>
              <w:ind w:left="2" w:right="2"/>
            </w:pPr>
          </w:p>
        </w:tc>
      </w:tr>
      <w:tr w:rsidR="002117B2" w14:paraId="3CC06B3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5F9853A8"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1CE31FD"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60AE93" w14:textId="77777777" w:rsidR="002117B2" w:rsidRDefault="00616284">
            <w:pPr>
              <w:spacing w:after="0"/>
              <w:ind w:left="2" w:right="2"/>
            </w:pPr>
            <w:r>
              <w:rPr>
                <w:rFonts w:ascii="Calibri" w:eastAsia="Calibri" w:hAnsi="Calibri" w:cs="Calibri"/>
                <w:color w:val="111111"/>
                <w:sz w:val="18"/>
                <w:szCs w:val="18"/>
              </w:rPr>
              <w:t>0.047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15F407" w14:textId="77777777" w:rsidR="002117B2" w:rsidRDefault="00616284">
            <w:pPr>
              <w:spacing w:after="0"/>
              <w:ind w:left="2" w:right="2"/>
            </w:pPr>
            <w:r>
              <w:rPr>
                <w:rFonts w:ascii="Calibri" w:eastAsia="Calibri" w:hAnsi="Calibri" w:cs="Calibri"/>
                <w:color w:val="111111"/>
                <w:sz w:val="18"/>
                <w:szCs w:val="18"/>
              </w:rPr>
              <w:t>0.047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3F73FB" w14:textId="77777777" w:rsidR="002117B2" w:rsidRDefault="00616284">
            <w:pPr>
              <w:spacing w:after="0"/>
              <w:ind w:left="2" w:right="2"/>
            </w:pPr>
            <w:r>
              <w:rPr>
                <w:rFonts w:ascii="Calibri" w:eastAsia="Calibri" w:hAnsi="Calibri" w:cs="Calibri"/>
                <w:color w:val="111111"/>
                <w:sz w:val="18"/>
                <w:szCs w:val="18"/>
              </w:rPr>
              <w:t>0.047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5129F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C2E08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2BD30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4BEB1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87C3F3"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752A41"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EE2C585" w14:textId="77777777" w:rsidR="002117B2" w:rsidRDefault="002117B2">
            <w:pPr>
              <w:spacing w:after="0"/>
              <w:ind w:left="2" w:right="2"/>
            </w:pPr>
          </w:p>
        </w:tc>
      </w:tr>
      <w:tr w:rsidR="002117B2" w14:paraId="62A2467C"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CDDE609"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7CEC4EF"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65BA40" w14:textId="77777777" w:rsidR="002117B2" w:rsidRDefault="00616284">
            <w:pPr>
              <w:spacing w:after="0"/>
              <w:ind w:left="2" w:right="2"/>
            </w:pPr>
            <w:r>
              <w:rPr>
                <w:rFonts w:ascii="Calibri" w:eastAsia="Calibri" w:hAnsi="Calibri" w:cs="Calibri"/>
                <w:color w:val="111111"/>
                <w:sz w:val="18"/>
                <w:szCs w:val="18"/>
              </w:rPr>
              <w:t>0.048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A6F048" w14:textId="77777777" w:rsidR="002117B2" w:rsidRDefault="00616284">
            <w:pPr>
              <w:spacing w:after="0"/>
              <w:ind w:left="2" w:right="2"/>
            </w:pPr>
            <w:r>
              <w:rPr>
                <w:rFonts w:ascii="Calibri" w:eastAsia="Calibri" w:hAnsi="Calibri" w:cs="Calibri"/>
                <w:color w:val="111111"/>
                <w:sz w:val="18"/>
                <w:szCs w:val="18"/>
              </w:rPr>
              <w:t>0.048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5CDB7D" w14:textId="77777777" w:rsidR="002117B2" w:rsidRDefault="00616284">
            <w:pPr>
              <w:spacing w:after="0"/>
              <w:ind w:left="2" w:right="2"/>
            </w:pPr>
            <w:r>
              <w:rPr>
                <w:rFonts w:ascii="Calibri" w:eastAsia="Calibri" w:hAnsi="Calibri" w:cs="Calibri"/>
                <w:color w:val="111111"/>
                <w:sz w:val="18"/>
                <w:szCs w:val="18"/>
              </w:rPr>
              <w:t>0.048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5D226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FCA02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98EBEF"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9FFBA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86089D"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054BCB"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439A600" w14:textId="77777777" w:rsidR="002117B2" w:rsidRDefault="002117B2">
            <w:pPr>
              <w:spacing w:after="0"/>
              <w:ind w:left="2" w:right="2"/>
            </w:pPr>
          </w:p>
        </w:tc>
      </w:tr>
      <w:tr w:rsidR="002117B2" w14:paraId="61E9FEB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0676DFE3"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977BCF7"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991DBC" w14:textId="77777777" w:rsidR="002117B2" w:rsidRDefault="00616284">
            <w:pPr>
              <w:spacing w:after="0"/>
              <w:ind w:left="2" w:right="2"/>
            </w:pPr>
            <w:r>
              <w:rPr>
                <w:rFonts w:ascii="Calibri" w:eastAsia="Calibri" w:hAnsi="Calibri" w:cs="Calibri"/>
                <w:color w:val="111111"/>
                <w:sz w:val="18"/>
                <w:szCs w:val="18"/>
              </w:rPr>
              <w:t>0.050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166C26" w14:textId="77777777" w:rsidR="002117B2" w:rsidRDefault="00616284">
            <w:pPr>
              <w:spacing w:after="0"/>
              <w:ind w:left="2" w:right="2"/>
            </w:pPr>
            <w:r>
              <w:rPr>
                <w:rFonts w:ascii="Calibri" w:eastAsia="Calibri" w:hAnsi="Calibri" w:cs="Calibri"/>
                <w:color w:val="111111"/>
                <w:sz w:val="18"/>
                <w:szCs w:val="18"/>
              </w:rPr>
              <w:t>0.050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3F9FC9" w14:textId="77777777" w:rsidR="002117B2" w:rsidRDefault="00616284">
            <w:pPr>
              <w:spacing w:after="0"/>
              <w:ind w:left="2" w:right="2"/>
            </w:pPr>
            <w:r>
              <w:rPr>
                <w:rFonts w:ascii="Calibri" w:eastAsia="Calibri" w:hAnsi="Calibri" w:cs="Calibri"/>
                <w:color w:val="111111"/>
                <w:sz w:val="18"/>
                <w:szCs w:val="18"/>
              </w:rPr>
              <w:t>0.050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E19B6A"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14109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CD5DF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9A1F1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A7EA8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DD4530"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DB41DD9" w14:textId="77777777" w:rsidR="002117B2" w:rsidRDefault="002117B2">
            <w:pPr>
              <w:spacing w:after="0"/>
              <w:ind w:left="2" w:right="2"/>
            </w:pPr>
          </w:p>
        </w:tc>
      </w:tr>
      <w:tr w:rsidR="002117B2" w14:paraId="38A7B976"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8DEDB52"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890D53F"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51A069"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83C3C6"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FA3E80"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3C777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C0B8B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7B618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596D7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C8ED30"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3FE91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29DDAFA3" w14:textId="77777777" w:rsidR="002117B2" w:rsidRDefault="002117B2">
            <w:pPr>
              <w:spacing w:after="0"/>
              <w:ind w:left="2" w:right="2"/>
            </w:pPr>
          </w:p>
        </w:tc>
      </w:tr>
      <w:tr w:rsidR="002117B2" w14:paraId="42A8F430"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582B504"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5267296D"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5AAD25AB"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3F8B009D"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52A36BAA"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6266306C"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055C8D02"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A9A3D2C"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1A29AAB6" w14:textId="77777777" w:rsidR="002117B2" w:rsidRDefault="002117B2">
            <w:pPr>
              <w:spacing w:after="0"/>
              <w:ind w:left="2" w:right="2"/>
            </w:pPr>
          </w:p>
        </w:tc>
        <w:tc>
          <w:tcPr>
            <w:tcW w:w="756" w:type="dxa"/>
            <w:shd w:val="clear" w:color="auto" w:fill="BDD7EE"/>
            <w:tcMar>
              <w:top w:w="0" w:type="dxa"/>
              <w:left w:w="0" w:type="dxa"/>
              <w:bottom w:w="0" w:type="dxa"/>
              <w:right w:w="0" w:type="dxa"/>
            </w:tcMar>
            <w:vAlign w:val="center"/>
          </w:tcPr>
          <w:p w14:paraId="4B86C6E8" w14:textId="77777777" w:rsidR="002117B2" w:rsidRDefault="002117B2">
            <w:pPr>
              <w:spacing w:after="0"/>
              <w:ind w:left="2" w:right="2"/>
            </w:pPr>
          </w:p>
        </w:tc>
        <w:tc>
          <w:tcPr>
            <w:tcW w:w="1872" w:type="dxa"/>
            <w:shd w:val="clear" w:color="auto" w:fill="BDD7EE"/>
            <w:tcMar>
              <w:top w:w="0" w:type="dxa"/>
              <w:left w:w="0" w:type="dxa"/>
              <w:bottom w:w="0" w:type="dxa"/>
              <w:right w:w="0" w:type="dxa"/>
            </w:tcMar>
            <w:vAlign w:val="center"/>
          </w:tcPr>
          <w:p w14:paraId="0C89945E"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150D84B6" w14:textId="77777777" w:rsidR="002117B2" w:rsidRDefault="002117B2">
            <w:pPr>
              <w:spacing w:after="0"/>
              <w:ind w:left="2" w:right="2"/>
            </w:pPr>
          </w:p>
        </w:tc>
      </w:tr>
      <w:tr w:rsidR="002117B2" w14:paraId="4E77C9AE"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6ACA682" w14:textId="77777777" w:rsidR="002117B2" w:rsidRDefault="002117B2">
            <w:pPr>
              <w:spacing w:after="0"/>
              <w:ind w:left="2" w:right="2"/>
              <w:jc w:val="center"/>
            </w:pPr>
          </w:p>
        </w:tc>
        <w:tc>
          <w:tcPr>
            <w:tcW w:w="1008" w:type="dxa"/>
            <w:shd w:val="clear" w:color="auto" w:fill="BDD7EE"/>
            <w:tcMar>
              <w:top w:w="0" w:type="dxa"/>
              <w:left w:w="0" w:type="dxa"/>
              <w:bottom w:w="0" w:type="dxa"/>
              <w:right w:w="0" w:type="dxa"/>
            </w:tcMar>
            <w:vAlign w:val="center"/>
          </w:tcPr>
          <w:p w14:paraId="087CB79A" w14:textId="77777777" w:rsidR="002117B2" w:rsidRDefault="002117B2">
            <w:pPr>
              <w:spacing w:after="0"/>
              <w:ind w:left="2" w:right="2"/>
              <w:jc w:val="center"/>
            </w:pPr>
          </w:p>
        </w:tc>
        <w:tc>
          <w:tcPr>
            <w:tcW w:w="6048" w:type="dxa"/>
            <w:gridSpan w:val="8"/>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39C316A" w14:textId="77777777" w:rsidR="002117B2" w:rsidRDefault="00616284">
            <w:pPr>
              <w:spacing w:after="0"/>
              <w:ind w:left="2" w:right="2"/>
              <w:jc w:val="center"/>
            </w:pPr>
            <w:r>
              <w:rPr>
                <w:rFonts w:ascii="Calibri" w:eastAsia="Calibri" w:hAnsi="Calibri" w:cs="Calibri"/>
                <w:b/>
                <w:color w:val="111111"/>
                <w:sz w:val="18"/>
                <w:szCs w:val="18"/>
              </w:rPr>
              <w:t>Difference between Original Estimate and Revised Estimate</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0A207844" w14:textId="77777777" w:rsidR="002117B2" w:rsidRDefault="00616284">
            <w:pPr>
              <w:spacing w:after="0"/>
              <w:ind w:left="2" w:right="2"/>
              <w:jc w:val="center"/>
            </w:pPr>
            <w:r>
              <w:rPr>
                <w:rFonts w:ascii="Calibri" w:eastAsia="Calibri" w:hAnsi="Calibri" w:cs="Calibri"/>
                <w:b/>
                <w:color w:val="111111"/>
                <w:sz w:val="18"/>
                <w:szCs w:val="18"/>
              </w:rPr>
              <w:t>Notes</w:t>
            </w:r>
          </w:p>
        </w:tc>
        <w:tc>
          <w:tcPr>
            <w:tcW w:w="216" w:type="dxa"/>
            <w:tcBorders>
              <w:right w:val="single" w:sz="8" w:space="0" w:color="000000"/>
            </w:tcBorders>
            <w:shd w:val="clear" w:color="auto" w:fill="BDD7EE"/>
            <w:tcMar>
              <w:top w:w="0" w:type="dxa"/>
              <w:left w:w="0" w:type="dxa"/>
              <w:bottom w:w="0" w:type="dxa"/>
              <w:right w:w="0" w:type="dxa"/>
            </w:tcMar>
            <w:vAlign w:val="center"/>
          </w:tcPr>
          <w:p w14:paraId="1AB28A7E" w14:textId="77777777" w:rsidR="002117B2" w:rsidRDefault="002117B2">
            <w:pPr>
              <w:spacing w:after="0"/>
              <w:ind w:left="2" w:right="2"/>
              <w:jc w:val="center"/>
            </w:pPr>
          </w:p>
        </w:tc>
      </w:tr>
      <w:tr w:rsidR="002117B2" w14:paraId="6FC735B7"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6481041B"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4876F3A" w14:textId="77777777" w:rsidR="002117B2" w:rsidRDefault="00616284">
            <w:pPr>
              <w:spacing w:after="0"/>
              <w:ind w:left="2" w:right="2"/>
              <w:jc w:val="center"/>
            </w:pPr>
            <w:r>
              <w:rPr>
                <w:rFonts w:ascii="Calibri" w:eastAsia="Calibri" w:hAnsi="Calibri" w:cs="Calibri"/>
                <w:color w:val="111111"/>
                <w:sz w:val="18"/>
                <w:szCs w:val="18"/>
              </w:rPr>
              <w:t>Year</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AC2E1BC" w14:textId="77777777" w:rsidR="002117B2" w:rsidRDefault="00616284">
            <w:pPr>
              <w:spacing w:after="0"/>
              <w:ind w:left="2" w:right="2"/>
              <w:jc w:val="center"/>
            </w:pPr>
            <w:r>
              <w:rPr>
                <w:rFonts w:ascii="Calibri" w:eastAsia="Calibri" w:hAnsi="Calibri" w:cs="Calibri"/>
                <w:color w:val="111111"/>
                <w:sz w:val="18"/>
                <w:szCs w:val="18"/>
              </w:rPr>
              <w:t>Pb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15A9EB9" w14:textId="77777777" w:rsidR="002117B2" w:rsidRDefault="00616284">
            <w:pPr>
              <w:spacing w:after="0"/>
              <w:ind w:left="2" w:right="2"/>
              <w:jc w:val="center"/>
            </w:pPr>
            <w:r>
              <w:rPr>
                <w:rFonts w:ascii="Calibri" w:eastAsia="Calibri" w:hAnsi="Calibri" w:cs="Calibri"/>
                <w:color w:val="111111"/>
                <w:sz w:val="18"/>
                <w:szCs w:val="18"/>
              </w:rPr>
              <w:t>Cd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4C87E63D" w14:textId="77777777" w:rsidR="002117B2" w:rsidRDefault="00616284">
            <w:pPr>
              <w:spacing w:after="0"/>
              <w:ind w:left="2" w:right="2"/>
              <w:jc w:val="center"/>
            </w:pPr>
            <w:r>
              <w:rPr>
                <w:rFonts w:ascii="Calibri" w:eastAsia="Calibri" w:hAnsi="Calibri" w:cs="Calibri"/>
                <w:color w:val="111111"/>
                <w:sz w:val="18"/>
                <w:szCs w:val="18"/>
              </w:rPr>
              <w:t>Hg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498937F" w14:textId="77777777" w:rsidR="002117B2" w:rsidRDefault="00616284">
            <w:pPr>
              <w:spacing w:after="0"/>
              <w:ind w:left="2" w:right="2"/>
              <w:jc w:val="center"/>
            </w:pPr>
            <w:r>
              <w:rPr>
                <w:rFonts w:ascii="Calibri" w:eastAsia="Calibri" w:hAnsi="Calibri" w:cs="Calibri"/>
                <w:color w:val="111111"/>
                <w:sz w:val="18"/>
                <w:szCs w:val="18"/>
              </w:rPr>
              <w:t xml:space="preserve">PCDD/F  </w:t>
            </w:r>
            <w:r>
              <w:rPr>
                <w:rFonts w:ascii="Calibri" w:eastAsia="Calibri" w:hAnsi="Calibri" w:cs="Calibri"/>
                <w:color w:val="111111"/>
                <w:sz w:val="18"/>
                <w:szCs w:val="18"/>
              </w:rPr>
              <w:br/>
              <w:t>(g I-TEQ)</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3C5F20BD" w14:textId="77777777" w:rsidR="002117B2" w:rsidRDefault="00616284">
            <w:pPr>
              <w:spacing w:after="0"/>
              <w:ind w:left="2" w:right="2"/>
              <w:jc w:val="center"/>
            </w:pPr>
            <w:r>
              <w:rPr>
                <w:rFonts w:ascii="Calibri" w:eastAsia="Calibri" w:hAnsi="Calibri" w:cs="Calibri"/>
                <w:color w:val="111111"/>
                <w:sz w:val="18"/>
                <w:szCs w:val="18"/>
              </w:rPr>
              <w:t>BaP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877D5F1" w14:textId="77777777" w:rsidR="002117B2" w:rsidRDefault="00616284">
            <w:pPr>
              <w:spacing w:after="0"/>
              <w:ind w:left="2" w:right="2"/>
              <w:jc w:val="center"/>
            </w:pPr>
            <w:r>
              <w:rPr>
                <w:rFonts w:ascii="Calibri" w:eastAsia="Calibri" w:hAnsi="Calibri" w:cs="Calibri"/>
                <w:color w:val="111111"/>
                <w:sz w:val="18"/>
                <w:szCs w:val="18"/>
              </w:rPr>
              <w:t>PAHs (t)</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18574BE1" w14:textId="77777777" w:rsidR="002117B2" w:rsidRDefault="00616284">
            <w:pPr>
              <w:spacing w:after="0"/>
              <w:ind w:left="2" w:right="2"/>
              <w:jc w:val="center"/>
            </w:pPr>
            <w:r>
              <w:rPr>
                <w:rFonts w:ascii="Calibri" w:eastAsia="Calibri" w:hAnsi="Calibri" w:cs="Calibri"/>
                <w:color w:val="111111"/>
                <w:sz w:val="18"/>
                <w:szCs w:val="18"/>
              </w:rPr>
              <w:t>HCB (kg)</w:t>
            </w:r>
          </w:p>
        </w:tc>
        <w:tc>
          <w:tcPr>
            <w:tcW w:w="756"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806BB98" w14:textId="77777777" w:rsidR="002117B2" w:rsidRDefault="00616284">
            <w:pPr>
              <w:spacing w:after="0"/>
              <w:ind w:left="2" w:right="2"/>
              <w:jc w:val="center"/>
            </w:pPr>
            <w:r>
              <w:rPr>
                <w:rFonts w:ascii="Calibri" w:eastAsia="Calibri" w:hAnsi="Calibri" w:cs="Calibri"/>
                <w:color w:val="111111"/>
                <w:sz w:val="18"/>
                <w:szCs w:val="18"/>
              </w:rPr>
              <w:t>PCBs (kg)</w:t>
            </w:r>
          </w:p>
        </w:tc>
        <w:tc>
          <w:tcPr>
            <w:tcW w:w="1872" w:type="dxa"/>
            <w:vMerge/>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557B3A6" w14:textId="77777777" w:rsidR="002117B2" w:rsidRDefault="002117B2">
            <w:pPr>
              <w:spacing w:after="0"/>
              <w:ind w:left="2" w:right="2"/>
              <w:jc w:val="center"/>
            </w:pPr>
          </w:p>
        </w:tc>
        <w:tc>
          <w:tcPr>
            <w:tcW w:w="216" w:type="dxa"/>
            <w:tcBorders>
              <w:right w:val="single" w:sz="8" w:space="0" w:color="000000"/>
            </w:tcBorders>
            <w:shd w:val="clear" w:color="auto" w:fill="BDD7EE"/>
            <w:tcMar>
              <w:top w:w="0" w:type="dxa"/>
              <w:left w:w="0" w:type="dxa"/>
              <w:bottom w:w="0" w:type="dxa"/>
              <w:right w:w="0" w:type="dxa"/>
            </w:tcMar>
            <w:vAlign w:val="center"/>
          </w:tcPr>
          <w:p w14:paraId="7093C3B0" w14:textId="77777777" w:rsidR="002117B2" w:rsidRDefault="002117B2">
            <w:pPr>
              <w:spacing w:after="0"/>
              <w:ind w:left="2" w:right="2"/>
              <w:jc w:val="center"/>
            </w:pPr>
          </w:p>
        </w:tc>
      </w:tr>
      <w:tr w:rsidR="002117B2" w14:paraId="7E799EB5"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48649435"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5596904A" w14:textId="77777777" w:rsidR="002117B2" w:rsidRDefault="00616284">
            <w:pPr>
              <w:spacing w:after="0"/>
              <w:ind w:left="2" w:right="2"/>
              <w:jc w:val="center"/>
            </w:pPr>
            <w:r>
              <w:rPr>
                <w:rFonts w:ascii="Calibri" w:eastAsia="Calibri" w:hAnsi="Calibri" w:cs="Calibri"/>
                <w:color w:val="111111"/>
                <w:sz w:val="18"/>
                <w:szCs w:val="18"/>
              </w:rPr>
              <w:t>1990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2A5B53"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FE3CF8"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75CA50"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DF3F32"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883CBB"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8E8411"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6D2124"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9D5F48"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5D3B00"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2AD53ED" w14:textId="77777777" w:rsidR="002117B2" w:rsidRDefault="002117B2">
            <w:pPr>
              <w:spacing w:after="0"/>
              <w:ind w:left="2" w:right="2"/>
            </w:pPr>
          </w:p>
        </w:tc>
      </w:tr>
      <w:tr w:rsidR="002117B2" w14:paraId="61A4341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ACA9073"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681447A5" w14:textId="77777777" w:rsidR="002117B2" w:rsidRDefault="00616284">
            <w:pPr>
              <w:spacing w:after="0"/>
              <w:ind w:left="2" w:right="2"/>
              <w:jc w:val="center"/>
            </w:pPr>
            <w:r>
              <w:rPr>
                <w:rFonts w:ascii="Calibri" w:eastAsia="Calibri" w:hAnsi="Calibri" w:cs="Calibri"/>
                <w:color w:val="111111"/>
                <w:sz w:val="18"/>
                <w:szCs w:val="18"/>
              </w:rPr>
              <w:t>2005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0D63CC" w14:textId="77777777" w:rsidR="002117B2" w:rsidRDefault="00616284">
            <w:pPr>
              <w:spacing w:after="0"/>
              <w:ind w:left="2" w:right="2"/>
            </w:pPr>
            <w:r>
              <w:rPr>
                <w:rFonts w:ascii="Calibri" w:eastAsia="Calibri" w:hAnsi="Calibri" w:cs="Calibri"/>
                <w:color w:val="111111"/>
                <w:sz w:val="18"/>
                <w:szCs w:val="18"/>
              </w:rPr>
              <w:t>0.047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BA87AA" w14:textId="77777777" w:rsidR="002117B2" w:rsidRDefault="00616284">
            <w:pPr>
              <w:spacing w:after="0"/>
              <w:ind w:left="2" w:right="2"/>
            </w:pPr>
            <w:r>
              <w:rPr>
                <w:rFonts w:ascii="Calibri" w:eastAsia="Calibri" w:hAnsi="Calibri" w:cs="Calibri"/>
                <w:color w:val="111111"/>
                <w:sz w:val="18"/>
                <w:szCs w:val="18"/>
              </w:rPr>
              <w:t>0.047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F356A7" w14:textId="77777777" w:rsidR="002117B2" w:rsidRDefault="00616284">
            <w:pPr>
              <w:spacing w:after="0"/>
              <w:ind w:left="2" w:right="2"/>
            </w:pPr>
            <w:r>
              <w:rPr>
                <w:rFonts w:ascii="Calibri" w:eastAsia="Calibri" w:hAnsi="Calibri" w:cs="Calibri"/>
                <w:color w:val="111111"/>
                <w:sz w:val="18"/>
                <w:szCs w:val="18"/>
              </w:rPr>
              <w:t>0.047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5032F6"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BFEF9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57671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1AEB8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C93091"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5904D0"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3C1A8D1C" w14:textId="77777777" w:rsidR="002117B2" w:rsidRDefault="002117B2">
            <w:pPr>
              <w:spacing w:after="0"/>
              <w:ind w:left="2" w:right="2"/>
            </w:pPr>
          </w:p>
        </w:tc>
      </w:tr>
      <w:tr w:rsidR="002117B2" w14:paraId="7D00A293"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736EB2FD"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78D577F0" w14:textId="77777777" w:rsidR="002117B2" w:rsidRDefault="00616284">
            <w:pPr>
              <w:spacing w:after="0"/>
              <w:ind w:left="2" w:right="2"/>
              <w:jc w:val="center"/>
            </w:pPr>
            <w:r>
              <w:rPr>
                <w:rFonts w:ascii="Calibri" w:eastAsia="Calibri" w:hAnsi="Calibri" w:cs="Calibri"/>
                <w:color w:val="111111"/>
                <w:sz w:val="18"/>
                <w:szCs w:val="18"/>
              </w:rPr>
              <w:t>2016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671EE9" w14:textId="77777777" w:rsidR="002117B2" w:rsidRDefault="00616284">
            <w:pPr>
              <w:spacing w:after="0"/>
              <w:ind w:left="2" w:right="2"/>
            </w:pPr>
            <w:r>
              <w:rPr>
                <w:rFonts w:ascii="Calibri" w:eastAsia="Calibri" w:hAnsi="Calibri" w:cs="Calibri"/>
                <w:color w:val="111111"/>
                <w:sz w:val="18"/>
                <w:szCs w:val="18"/>
              </w:rPr>
              <w:t>0.048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1999B2" w14:textId="77777777" w:rsidR="002117B2" w:rsidRDefault="00616284">
            <w:pPr>
              <w:spacing w:after="0"/>
              <w:ind w:left="2" w:right="2"/>
            </w:pPr>
            <w:r>
              <w:rPr>
                <w:rFonts w:ascii="Calibri" w:eastAsia="Calibri" w:hAnsi="Calibri" w:cs="Calibri"/>
                <w:color w:val="111111"/>
                <w:sz w:val="18"/>
                <w:szCs w:val="18"/>
              </w:rPr>
              <w:t>0.048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2A45B1" w14:textId="77777777" w:rsidR="002117B2" w:rsidRDefault="00616284">
            <w:pPr>
              <w:spacing w:after="0"/>
              <w:ind w:left="2" w:right="2"/>
            </w:pPr>
            <w:r>
              <w:rPr>
                <w:rFonts w:ascii="Calibri" w:eastAsia="Calibri" w:hAnsi="Calibri" w:cs="Calibri"/>
                <w:color w:val="111111"/>
                <w:sz w:val="18"/>
                <w:szCs w:val="18"/>
              </w:rPr>
              <w:t>0.048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C04CE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520258"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30C30E"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B7EF2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5EFA7F"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BCA49E"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73040A00" w14:textId="77777777" w:rsidR="002117B2" w:rsidRDefault="002117B2">
            <w:pPr>
              <w:spacing w:after="0"/>
              <w:ind w:left="2" w:right="2"/>
            </w:pPr>
          </w:p>
        </w:tc>
      </w:tr>
      <w:tr w:rsidR="002117B2" w14:paraId="4CB3EC1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1C69D5EB"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3405D3B" w14:textId="77777777" w:rsidR="002117B2" w:rsidRDefault="00616284">
            <w:pPr>
              <w:spacing w:after="0"/>
              <w:ind w:left="2" w:right="2"/>
              <w:jc w:val="center"/>
            </w:pPr>
            <w:r>
              <w:rPr>
                <w:rFonts w:ascii="Calibri" w:eastAsia="Calibri" w:hAnsi="Calibri" w:cs="Calibri"/>
                <w:color w:val="111111"/>
                <w:sz w:val="18"/>
                <w:szCs w:val="18"/>
              </w:rPr>
              <w:t>2017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45777F" w14:textId="77777777" w:rsidR="002117B2" w:rsidRDefault="00616284">
            <w:pPr>
              <w:spacing w:after="0"/>
              <w:ind w:left="2" w:right="2"/>
            </w:pPr>
            <w:r>
              <w:rPr>
                <w:rFonts w:ascii="Calibri" w:eastAsia="Calibri" w:hAnsi="Calibri" w:cs="Calibri"/>
                <w:color w:val="111111"/>
                <w:sz w:val="18"/>
                <w:szCs w:val="18"/>
              </w:rPr>
              <w:t>0.050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0645E3" w14:textId="77777777" w:rsidR="002117B2" w:rsidRDefault="00616284">
            <w:pPr>
              <w:spacing w:after="0"/>
              <w:ind w:left="2" w:right="2"/>
            </w:pPr>
            <w:r>
              <w:rPr>
                <w:rFonts w:ascii="Calibri" w:eastAsia="Calibri" w:hAnsi="Calibri" w:cs="Calibri"/>
                <w:color w:val="111111"/>
                <w:sz w:val="18"/>
                <w:szCs w:val="18"/>
              </w:rPr>
              <w:t>0.050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B3EDF4" w14:textId="77777777" w:rsidR="002117B2" w:rsidRDefault="00616284">
            <w:pPr>
              <w:spacing w:after="0"/>
              <w:ind w:left="2" w:right="2"/>
            </w:pPr>
            <w:r>
              <w:rPr>
                <w:rFonts w:ascii="Calibri" w:eastAsia="Calibri" w:hAnsi="Calibri" w:cs="Calibri"/>
                <w:color w:val="111111"/>
                <w:sz w:val="18"/>
                <w:szCs w:val="18"/>
              </w:rPr>
              <w:t>0.050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BC9757"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069515"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923479"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F3EABC"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8113E6"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E54416"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5371B830" w14:textId="77777777" w:rsidR="002117B2" w:rsidRDefault="002117B2">
            <w:pPr>
              <w:spacing w:after="0"/>
              <w:ind w:left="2" w:right="2"/>
            </w:pPr>
          </w:p>
        </w:tc>
      </w:tr>
      <w:tr w:rsidR="002117B2" w14:paraId="5A638D31"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2D763435" w14:textId="77777777" w:rsidR="002117B2" w:rsidRDefault="002117B2">
            <w:pPr>
              <w:spacing w:after="0"/>
              <w:ind w:left="2" w:right="2"/>
              <w:jc w:val="center"/>
            </w:pPr>
          </w:p>
        </w:tc>
        <w:tc>
          <w:tcPr>
            <w:tcW w:w="1008" w:type="dxa"/>
            <w:tcBorders>
              <w:top w:val="single" w:sz="8" w:space="0" w:color="000000"/>
              <w:left w:val="single" w:sz="8" w:space="0" w:color="000000"/>
              <w:bottom w:val="single" w:sz="8" w:space="0" w:color="000000"/>
              <w:right w:val="single" w:sz="8" w:space="0" w:color="000000"/>
            </w:tcBorders>
            <w:shd w:val="clear" w:color="auto" w:fill="00B0F0"/>
            <w:tcMar>
              <w:top w:w="0" w:type="dxa"/>
              <w:left w:w="0" w:type="dxa"/>
              <w:bottom w:w="0" w:type="dxa"/>
              <w:right w:w="0" w:type="dxa"/>
            </w:tcMar>
            <w:vAlign w:val="center"/>
          </w:tcPr>
          <w:p w14:paraId="2ABDB204" w14:textId="77777777" w:rsidR="002117B2" w:rsidRDefault="00616284">
            <w:pPr>
              <w:spacing w:after="0"/>
              <w:ind w:left="2" w:right="2"/>
              <w:jc w:val="center"/>
            </w:pPr>
            <w:r>
              <w:rPr>
                <w:rFonts w:ascii="Calibri" w:eastAsia="Calibri" w:hAnsi="Calibri" w:cs="Calibri"/>
                <w:color w:val="111111"/>
                <w:sz w:val="18"/>
                <w:szCs w:val="18"/>
              </w:rPr>
              <w:t>2018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631859"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A9E074"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149EFA" w14:textId="77777777" w:rsidR="002117B2" w:rsidRDefault="00616284">
            <w:pPr>
              <w:spacing w:after="0"/>
              <w:ind w:left="2" w:right="2"/>
            </w:pPr>
            <w:r>
              <w:rPr>
                <w:rFonts w:ascii="Calibri" w:eastAsia="Calibri" w:hAnsi="Calibri" w:cs="Calibri"/>
                <w:color w:val="111111"/>
                <w:sz w:val="18"/>
                <w:szCs w:val="18"/>
              </w:rPr>
              <w:t>0.049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23B8B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70DF93"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3DE79D"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EB4A60" w14:textId="77777777" w:rsidR="002117B2" w:rsidRDefault="002117B2">
            <w:pPr>
              <w:spacing w:after="0"/>
              <w:ind w:left="2" w:right="2"/>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9124A2" w14:textId="77777777" w:rsidR="002117B2" w:rsidRDefault="002117B2">
            <w:pPr>
              <w:spacing w:after="0"/>
              <w:ind w:left="2" w:right="2"/>
            </w:pP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3739EF" w14:textId="77777777" w:rsidR="002117B2" w:rsidRDefault="002117B2">
            <w:pPr>
              <w:spacing w:after="0"/>
              <w:ind w:left="2" w:right="2"/>
            </w:pPr>
          </w:p>
        </w:tc>
        <w:tc>
          <w:tcPr>
            <w:tcW w:w="216" w:type="dxa"/>
            <w:tcBorders>
              <w:right w:val="single" w:sz="8" w:space="0" w:color="000000"/>
            </w:tcBorders>
            <w:shd w:val="clear" w:color="auto" w:fill="BDD7EE"/>
            <w:tcMar>
              <w:top w:w="0" w:type="dxa"/>
              <w:left w:w="0" w:type="dxa"/>
              <w:bottom w:w="0" w:type="dxa"/>
              <w:right w:w="0" w:type="dxa"/>
            </w:tcMar>
            <w:vAlign w:val="center"/>
          </w:tcPr>
          <w:p w14:paraId="08B672EC" w14:textId="77777777" w:rsidR="002117B2" w:rsidRDefault="002117B2">
            <w:pPr>
              <w:spacing w:after="0"/>
              <w:ind w:left="2" w:right="2"/>
            </w:pPr>
          </w:p>
        </w:tc>
      </w:tr>
      <w:tr w:rsidR="002117B2" w14:paraId="00CEBB9F" w14:textId="77777777">
        <w:trPr>
          <w:cantSplit/>
          <w:jc w:val="center"/>
        </w:trPr>
        <w:tc>
          <w:tcPr>
            <w:tcW w:w="216" w:type="dxa"/>
            <w:vMerge/>
            <w:tcBorders>
              <w:top w:val="single" w:sz="8" w:space="0" w:color="000000"/>
              <w:left w:val="single" w:sz="8" w:space="0" w:color="000000"/>
              <w:bottom w:val="single" w:sz="8" w:space="0" w:color="000000"/>
              <w:right w:val="single" w:sz="8" w:space="0" w:color="000000"/>
            </w:tcBorders>
            <w:shd w:val="clear" w:color="auto" w:fill="0070C0"/>
            <w:tcMar>
              <w:top w:w="0" w:type="dxa"/>
              <w:left w:w="0" w:type="dxa"/>
              <w:bottom w:w="0" w:type="dxa"/>
              <w:right w:w="0" w:type="dxa"/>
            </w:tcMar>
            <w:vAlign w:val="center"/>
          </w:tcPr>
          <w:p w14:paraId="382C7940" w14:textId="77777777" w:rsidR="002117B2" w:rsidRDefault="002117B2">
            <w:pPr>
              <w:spacing w:after="0"/>
              <w:ind w:left="2" w:right="2"/>
              <w:jc w:val="center"/>
            </w:pPr>
          </w:p>
        </w:tc>
        <w:tc>
          <w:tcPr>
            <w:tcW w:w="1008" w:type="dxa"/>
            <w:tcBorders>
              <w:bottom w:val="single" w:sz="8" w:space="0" w:color="000000"/>
            </w:tcBorders>
            <w:shd w:val="clear" w:color="auto" w:fill="BDD7EE"/>
            <w:tcMar>
              <w:top w:w="0" w:type="dxa"/>
              <w:left w:w="0" w:type="dxa"/>
              <w:bottom w:w="0" w:type="dxa"/>
              <w:right w:w="0" w:type="dxa"/>
            </w:tcMar>
            <w:vAlign w:val="center"/>
          </w:tcPr>
          <w:p w14:paraId="1D346E09"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7F6E0451"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3AA88858"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6E83679D"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422AF576"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05177A6D"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70C050CE"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1CE8EB4B" w14:textId="77777777" w:rsidR="002117B2" w:rsidRDefault="002117B2">
            <w:pPr>
              <w:spacing w:after="0"/>
              <w:ind w:left="2" w:right="2"/>
            </w:pPr>
          </w:p>
        </w:tc>
        <w:tc>
          <w:tcPr>
            <w:tcW w:w="756" w:type="dxa"/>
            <w:tcBorders>
              <w:bottom w:val="single" w:sz="8" w:space="0" w:color="000000"/>
            </w:tcBorders>
            <w:shd w:val="clear" w:color="auto" w:fill="BDD7EE"/>
            <w:tcMar>
              <w:top w:w="0" w:type="dxa"/>
              <w:left w:w="0" w:type="dxa"/>
              <w:bottom w:w="0" w:type="dxa"/>
              <w:right w:w="0" w:type="dxa"/>
            </w:tcMar>
            <w:vAlign w:val="center"/>
          </w:tcPr>
          <w:p w14:paraId="2E976AD9" w14:textId="77777777" w:rsidR="002117B2" w:rsidRDefault="002117B2">
            <w:pPr>
              <w:spacing w:after="0"/>
              <w:ind w:left="2" w:right="2"/>
            </w:pPr>
          </w:p>
        </w:tc>
        <w:tc>
          <w:tcPr>
            <w:tcW w:w="1872" w:type="dxa"/>
            <w:tcBorders>
              <w:bottom w:val="single" w:sz="8" w:space="0" w:color="000000"/>
            </w:tcBorders>
            <w:shd w:val="clear" w:color="auto" w:fill="BDD7EE"/>
            <w:tcMar>
              <w:top w:w="0" w:type="dxa"/>
              <w:left w:w="0" w:type="dxa"/>
              <w:bottom w:w="0" w:type="dxa"/>
              <w:right w:w="0" w:type="dxa"/>
            </w:tcMar>
            <w:vAlign w:val="center"/>
          </w:tcPr>
          <w:p w14:paraId="01EACF11" w14:textId="77777777" w:rsidR="002117B2" w:rsidRDefault="002117B2">
            <w:pPr>
              <w:spacing w:after="0"/>
              <w:ind w:left="2" w:right="2"/>
            </w:pPr>
          </w:p>
        </w:tc>
        <w:tc>
          <w:tcPr>
            <w:tcW w:w="216" w:type="dxa"/>
            <w:tcBorders>
              <w:bottom w:val="single" w:sz="8" w:space="0" w:color="000000"/>
              <w:right w:val="single" w:sz="8" w:space="0" w:color="000000"/>
            </w:tcBorders>
            <w:shd w:val="clear" w:color="auto" w:fill="BDD7EE"/>
            <w:tcMar>
              <w:top w:w="0" w:type="dxa"/>
              <w:left w:w="0" w:type="dxa"/>
              <w:bottom w:w="0" w:type="dxa"/>
              <w:right w:w="0" w:type="dxa"/>
            </w:tcMar>
            <w:vAlign w:val="center"/>
          </w:tcPr>
          <w:p w14:paraId="2816768D" w14:textId="77777777" w:rsidR="002117B2" w:rsidRDefault="002117B2">
            <w:pPr>
              <w:spacing w:after="0"/>
              <w:ind w:left="2" w:right="2"/>
            </w:pPr>
          </w:p>
        </w:tc>
      </w:tr>
    </w:tbl>
    <w:p w14:paraId="16007651" w14:textId="77777777" w:rsidR="002117B2" w:rsidRDefault="00616284">
      <w:r>
        <w:br w:type="page"/>
      </w:r>
    </w:p>
    <w:p w14:paraId="2AC7B3B5" w14:textId="77777777" w:rsidR="00372308" w:rsidRDefault="00372308">
      <w:pPr>
        <w:sectPr w:rsidR="00372308" w:rsidSect="00C93813">
          <w:pgSz w:w="11906" w:h="16838"/>
          <w:pgMar w:top="1440" w:right="1440" w:bottom="1440" w:left="1440" w:header="708" w:footer="708" w:gutter="0"/>
          <w:cols w:space="708"/>
          <w:docGrid w:linePitch="360"/>
        </w:sectPr>
      </w:pPr>
    </w:p>
    <w:p w14:paraId="0A40B720" w14:textId="77777777" w:rsidR="00127547" w:rsidRPr="00127547" w:rsidRDefault="005C1F07" w:rsidP="00372308">
      <w:pPr>
        <w:pStyle w:val="AnnexHeading"/>
      </w:pPr>
      <w:bookmarkStart w:id="47" w:name="_Toc390425770"/>
      <w:bookmarkStart w:id="48" w:name="_Toc454531596"/>
      <w:bookmarkEnd w:id="45"/>
      <w:r w:rsidRPr="00127547">
        <w:t>References</w:t>
      </w:r>
      <w:bookmarkEnd w:id="47"/>
      <w:bookmarkEnd w:id="48"/>
      <w:r w:rsidRPr="00127547">
        <w:t xml:space="preserve"> and Supporting Documents</w:t>
      </w:r>
    </w:p>
    <w:p w14:paraId="6FBE0197" w14:textId="07651F9F" w:rsidR="00072067" w:rsidRPr="006273D1" w:rsidRDefault="00072067" w:rsidP="005C1F07">
      <w:r w:rsidRPr="006273D1">
        <w:t xml:space="preserve">Annex I emission reporting template. Available at </w:t>
      </w:r>
      <w:hyperlink r:id="rId12" w:history="1">
        <w:r w:rsidR="001C4050" w:rsidRPr="006273D1">
          <w:rPr>
            <w:rStyle w:val="Hipersaitas"/>
          </w:rPr>
          <w:t>http://www.ceip.at/ms/ceip_home1/ceip_home/reporting_instructions/</w:t>
        </w:r>
      </w:hyperlink>
    </w:p>
    <w:p w14:paraId="674FFC2F" w14:textId="4D7AD9AD" w:rsidR="001C4050" w:rsidRPr="006273D1" w:rsidRDefault="00123537" w:rsidP="001C4050">
      <w:r w:rsidRPr="006273D1">
        <w:t>ECE/EB.AIR/111/Add.1: Decision 2012/3</w:t>
      </w:r>
      <w:r w:rsidR="001C4050" w:rsidRPr="006273D1">
        <w:t>: Adjustments under the Gothenburg Protocol to emission reduction commitments or to inventories for the purposes of comparing total national emissions with them</w:t>
      </w:r>
      <w:r w:rsidR="001C4050" w:rsidRPr="006273D1">
        <w:br/>
      </w:r>
      <w:hyperlink r:id="rId13">
        <w:r w:rsidR="001C4050" w:rsidRPr="006273D1">
          <w:rPr>
            <w:rStyle w:val="Hipersaitas"/>
          </w:rPr>
          <w:t>https://www.unece.org/fileadmin/DAM/env/documents/2013/air/eb/ECE.EB.AIR.114_ENG.pdf</w:t>
        </w:r>
      </w:hyperlink>
    </w:p>
    <w:p w14:paraId="028A7A82" w14:textId="7CFD942E" w:rsidR="001C4050" w:rsidRPr="006273D1" w:rsidRDefault="00123537" w:rsidP="001C4050">
      <w:pPr>
        <w:rPr>
          <w:rStyle w:val="Hipersaitas"/>
        </w:rPr>
      </w:pPr>
      <w:r w:rsidRPr="006273D1">
        <w:t>ECE/EB.AIR/113/Add.1: Decision 2012/12</w:t>
      </w:r>
      <w:r w:rsidR="001C4050" w:rsidRPr="006273D1">
        <w:t>: Guidance for adjustments under the 1999 Protocol to Abate Acidification, Eutrophication and Ground-level Ozone to emission reduction commitments or to inventories for the purposes of comparing total national emissions with them</w:t>
      </w:r>
      <w:r w:rsidR="001C4050" w:rsidRPr="006273D1">
        <w:br/>
      </w:r>
      <w:hyperlink r:id="rId14">
        <w:r w:rsidR="001C4050" w:rsidRPr="006273D1">
          <w:rPr>
            <w:rStyle w:val="Hipersaitas"/>
          </w:rPr>
          <w:t>https://www.unece.org/fileadmin/DAM/env/documents/2012/EB/ECE_EB.AIR_113_Add.1_ENG_1_.pdf</w:t>
        </w:r>
      </w:hyperlink>
    </w:p>
    <w:p w14:paraId="158A8221" w14:textId="272AB188" w:rsidR="00123537" w:rsidRPr="006273D1" w:rsidRDefault="00123537" w:rsidP="00123537">
      <w:r w:rsidRPr="006273D1">
        <w:t>ECE/EB.AIR/125: 2014 Reporting Guidelines for Estimating and Reporting Emission Data under CLRTAP</w:t>
      </w:r>
      <w:r w:rsidRPr="006273D1">
        <w:br/>
      </w:r>
      <w:hyperlink r:id="rId15">
        <w:r w:rsidRPr="006273D1">
          <w:rPr>
            <w:rStyle w:val="Hipersaitas"/>
          </w:rPr>
          <w:t>http://www.ceip.at/ms/ceip_home1/ceip_home/reporting_instructions/</w:t>
        </w:r>
      </w:hyperlink>
    </w:p>
    <w:p w14:paraId="7DAEE89B" w14:textId="2BE97BF5" w:rsidR="001C4050" w:rsidRPr="006273D1" w:rsidRDefault="00123537" w:rsidP="001C4050">
      <w:r w:rsidRPr="006273D1">
        <w:t xml:space="preserve">ECE/EB.AIR/127/Add.1: </w:t>
      </w:r>
      <w:r w:rsidR="001C4050" w:rsidRPr="006273D1">
        <w:t>Decision</w:t>
      </w:r>
      <w:r w:rsidRPr="006273D1">
        <w:t xml:space="preserve"> 2014/1: </w:t>
      </w:r>
      <w:r w:rsidR="001C4050" w:rsidRPr="006273D1">
        <w:t>Improving the guidance for adjustments under the 1999 Protocol to Abate Acidification, Eutrophication and Ground-level Ozone to emission reduction commitments or to inventories for the purposes of comparing total national emissions with them</w:t>
      </w:r>
      <w:r w:rsidR="001C4050" w:rsidRPr="006273D1">
        <w:br/>
      </w:r>
      <w:hyperlink r:id="rId16">
        <w:r w:rsidR="001C4050" w:rsidRPr="006273D1">
          <w:rPr>
            <w:rStyle w:val="Hipersaitas"/>
          </w:rPr>
          <w:t>https://www.unece.org/fileadmin/DAM/env/documents/2014/AIR/EB/Decision_2014_1.pdf</w:t>
        </w:r>
      </w:hyperlink>
    </w:p>
    <w:p w14:paraId="3A1E7121" w14:textId="37453FC5" w:rsidR="00123537" w:rsidRPr="006273D1" w:rsidRDefault="00123537" w:rsidP="00123537">
      <w:r w:rsidRPr="006273D1">
        <w:t xml:space="preserve">ECE/EB.AIR/130: Technical Guidance for Parties Making Adjustment Applications and for the Expert Review of Adjustment Applications, 14 April 2015 </w:t>
      </w:r>
      <w:hyperlink r:id="rId17">
        <w:r w:rsidRPr="006273D1">
          <w:rPr>
            <w:rStyle w:val="Hipersaitas"/>
          </w:rPr>
          <w:t>http://www.ceip.at/fileadmin/inhalte/emep/Adjustments/ECE_EB_AIR_130_AV_for_the_web.pdf</w:t>
        </w:r>
      </w:hyperlink>
    </w:p>
    <w:p w14:paraId="3CE6CB57" w14:textId="76AC3344" w:rsidR="00BF314F" w:rsidRPr="00ED73BC" w:rsidRDefault="00BF314F" w:rsidP="00BF314F">
      <w:r w:rsidRPr="00ED73BC">
        <w:rPr>
          <w:rFonts w:cstheme="minorHAnsi"/>
        </w:rPr>
        <w:t xml:space="preserve">EEA </w:t>
      </w:r>
      <w:r w:rsidRPr="00ED73BC">
        <w:rPr>
          <w:rFonts w:cstheme="minorHAnsi"/>
          <w:lang w:eastAsia="en-GB"/>
        </w:rPr>
        <w:t>2020</w:t>
      </w:r>
      <w:r w:rsidRPr="00ED73BC">
        <w:rPr>
          <w:rFonts w:cstheme="minorHAnsi"/>
        </w:rPr>
        <w:t xml:space="preserve">. NEC Directive reporting status 2020. European Environment Agency, Copenhagen. </w:t>
      </w:r>
      <w:r w:rsidRPr="00ED73BC">
        <w:rPr>
          <w:rFonts w:cstheme="minorHAnsi"/>
          <w:highlight w:val="magenta"/>
        </w:rPr>
        <w:br/>
      </w:r>
      <w:hyperlink r:id="rId18" w:history="1">
        <w:r w:rsidRPr="00ED73BC">
          <w:rPr>
            <w:rStyle w:val="Hipersaitas"/>
          </w:rPr>
          <w:t>https://www.eea.europa.eu/themes/air/air-pollution-sources-1/national-emission-ceilings/national-emission-reduction-commitments-directive</w:t>
        </w:r>
      </w:hyperlink>
      <w:r w:rsidRPr="00ED73BC">
        <w:t xml:space="preserve"> </w:t>
      </w:r>
    </w:p>
    <w:p w14:paraId="7D13A5F6" w14:textId="4737BB94" w:rsidR="00123537" w:rsidRPr="006273D1" w:rsidRDefault="00123537" w:rsidP="00123537">
      <w:pPr>
        <w:rPr>
          <w:bCs/>
          <w:lang w:eastAsia="en-GB"/>
        </w:rPr>
      </w:pPr>
      <w:r w:rsidRPr="006273D1">
        <w:t>EMEP/EEA</w:t>
      </w:r>
      <w:r w:rsidRPr="006273D1">
        <w:rPr>
          <w:bCs/>
          <w:lang w:eastAsia="en-GB"/>
        </w:rPr>
        <w:t xml:space="preserve">: EMEP/EEA air pollutant emission inventory guidebook 2013, </w:t>
      </w:r>
      <w:r w:rsidR="00C24744" w:rsidRPr="006273D1">
        <w:rPr>
          <w:bCs/>
          <w:lang w:eastAsia="en-GB"/>
        </w:rPr>
        <w:t xml:space="preserve">EEA </w:t>
      </w:r>
      <w:r w:rsidRPr="006273D1">
        <w:rPr>
          <w:bCs/>
          <w:lang w:eastAsia="en-GB"/>
        </w:rPr>
        <w:t>Technical report No 12/2013,</w:t>
      </w:r>
      <w:r w:rsidRPr="006273D1">
        <w:t xml:space="preserve"> European Environment Agency, Copenhagen. Available at:</w:t>
      </w:r>
      <w:r w:rsidRPr="006273D1">
        <w:rPr>
          <w:b/>
          <w:bCs/>
          <w:lang w:eastAsia="en-GB"/>
        </w:rPr>
        <w:br/>
      </w:r>
      <w:hyperlink r:id="rId19" w:history="1">
        <w:r w:rsidRPr="006273D1">
          <w:rPr>
            <w:rStyle w:val="Hipersaitas"/>
            <w:bCs/>
            <w:lang w:eastAsia="en-GB"/>
          </w:rPr>
          <w:t>http://www.eea.europa.eu/publications/emep-eea-guidebook-2013</w:t>
        </w:r>
      </w:hyperlink>
      <w:r w:rsidRPr="006273D1">
        <w:rPr>
          <w:bCs/>
          <w:lang w:eastAsia="en-GB"/>
        </w:rPr>
        <w:t xml:space="preserve"> </w:t>
      </w:r>
    </w:p>
    <w:p w14:paraId="75D2DB01" w14:textId="4023EA9E" w:rsidR="00123537" w:rsidRPr="006273D1" w:rsidRDefault="00123537" w:rsidP="00123537">
      <w:r w:rsidRPr="006273D1">
        <w:t>EMEP/EEA: EMEP/EEA air pollutant emission inventory guidebook 2016</w:t>
      </w:r>
      <w:r w:rsidR="00C24744" w:rsidRPr="006273D1">
        <w:t>,</w:t>
      </w:r>
      <w:r w:rsidRPr="006273D1">
        <w:t xml:space="preserve"> EEA </w:t>
      </w:r>
      <w:r w:rsidR="00C24744" w:rsidRPr="006273D1">
        <w:t>Report</w:t>
      </w:r>
      <w:r w:rsidRPr="006273D1">
        <w:t xml:space="preserve"> No. 21/2016 European Environment Agency, Copenhagen</w:t>
      </w:r>
      <w:r w:rsidR="00C24744" w:rsidRPr="006273D1">
        <w:t>. Available at:</w:t>
      </w:r>
      <w:r w:rsidRPr="006273D1">
        <w:br/>
      </w:r>
      <w:hyperlink r:id="rId20">
        <w:r w:rsidRPr="006273D1">
          <w:rPr>
            <w:rStyle w:val="Hipersaitas"/>
          </w:rPr>
          <w:t>http://www.eea.europa.eu//publications/emep-eea-guidebook-2016</w:t>
        </w:r>
      </w:hyperlink>
    </w:p>
    <w:p w14:paraId="3528B352" w14:textId="3CEC7EAC" w:rsidR="00123537" w:rsidRPr="006273D1" w:rsidRDefault="00123537" w:rsidP="00123537">
      <w:r w:rsidRPr="006273D1">
        <w:t>EMEP/EEA: EMEP/EEA air pollutant</w:t>
      </w:r>
      <w:r w:rsidR="00C24744" w:rsidRPr="006273D1">
        <w:t xml:space="preserve"> emission inventory guidebook </w:t>
      </w:r>
      <w:r w:rsidRPr="006273D1">
        <w:t xml:space="preserve">2019, EEA Report No. 13/2019 European Environment Agency, Copenhagen. Available at: </w:t>
      </w:r>
      <w:hyperlink r:id="rId21" w:history="1">
        <w:r w:rsidRPr="006273D1">
          <w:rPr>
            <w:rStyle w:val="Hipersaitas"/>
          </w:rPr>
          <w:t>https://www.eea.europa.eu/publications/emep-eea-guidebook-2019 EU 2019</w:t>
        </w:r>
      </w:hyperlink>
    </w:p>
    <w:p w14:paraId="7574114D" w14:textId="57C46D11" w:rsidR="00BF314F" w:rsidRDefault="00BF314F" w:rsidP="00DB7E29">
      <w:r w:rsidRPr="00BF314F">
        <w:t>EU 2020. Dore C., Air Emission Inventory Review Guidelines 2020</w:t>
      </w:r>
      <w:r>
        <w:rPr>
          <w:sz w:val="20"/>
          <w:szCs w:val="20"/>
        </w:rPr>
        <w:br/>
      </w:r>
      <w:hyperlink r:id="rId22" w:history="1">
        <w:r w:rsidRPr="00214477">
          <w:rPr>
            <w:rStyle w:val="Hipersaitas"/>
          </w:rPr>
          <w:t>https://ec.europa.eu/environment/air/documents/Air%20Emission%20Inventory%20Review%20Guidelines%202020_Final.pdf</w:t>
        </w:r>
      </w:hyperlink>
    </w:p>
    <w:p w14:paraId="51930E80" w14:textId="11A026CF" w:rsidR="00774955" w:rsidRPr="00774955" w:rsidRDefault="005C1F07" w:rsidP="00DB7E29">
      <w:pPr>
        <w:rPr>
          <w:rStyle w:val="Hipersaitas"/>
          <w:color w:val="auto"/>
          <w:u w:val="none"/>
        </w:rPr>
      </w:pPr>
      <w:r w:rsidRPr="006273D1">
        <w:rPr>
          <w:rStyle w:val="Hipersaitas"/>
        </w:rPr>
        <w:t xml:space="preserve">NEC Directive 2001, </w:t>
      </w:r>
      <w:r w:rsidRPr="006273D1">
        <w:rPr>
          <w:rFonts w:cs="Times New Roman"/>
          <w:bCs/>
        </w:rPr>
        <w:t>DIRECTIVE 2001/81/EC OF THE EUROPEAN PARLIAMENT AND OF THE COUNCIL</w:t>
      </w:r>
      <w:r w:rsidR="004D5217">
        <w:rPr>
          <w:rFonts w:cs="Times New Roman"/>
          <w:bCs/>
        </w:rPr>
        <w:t xml:space="preserve"> </w:t>
      </w:r>
      <w:r w:rsidRPr="006273D1">
        <w:rPr>
          <w:rFonts w:cs="Times New Roman"/>
          <w:bCs/>
        </w:rPr>
        <w:t xml:space="preserve">of 23 October 2001 </w:t>
      </w:r>
      <w:r w:rsidRPr="006273D1">
        <w:rPr>
          <w:bCs/>
        </w:rPr>
        <w:t>on national emission ceilings for certain atmospheric pollutants</w:t>
      </w:r>
      <w:r w:rsidRPr="006273D1">
        <w:rPr>
          <w:bCs/>
        </w:rPr>
        <w:br/>
      </w:r>
      <w:hyperlink r:id="rId23" w:history="1">
        <w:r w:rsidR="00774955" w:rsidRPr="0052091C">
          <w:rPr>
            <w:rStyle w:val="Hipersaitas"/>
          </w:rPr>
          <w:t>http://eur-lex.europa.eu/legal-content/EN/TXT/PDF/?uri=CELEX:02001L0081-20130701&amp;from=EN</w:t>
        </w:r>
      </w:hyperlink>
    </w:p>
    <w:p w14:paraId="2BAA133E" w14:textId="5D42F4D1" w:rsidR="004C4E9B" w:rsidRPr="006273D1" w:rsidRDefault="005C1F07" w:rsidP="00DB7E29">
      <w:pPr>
        <w:rPr>
          <w:bCs/>
        </w:rPr>
      </w:pPr>
      <w:r w:rsidRPr="006273D1">
        <w:rPr>
          <w:bCs/>
        </w:rPr>
        <w:t xml:space="preserve">NEC Directive 2016, DIRECTIVE (EU) 2016/2284 OF THE EUROPEAN PARLIAMENT AND OF THE COUNCIL of 14 December 2016 on the reduction of national emissions of certain atmospheric pollutants, amending Directive 2003/35/EC and repealing Directive 2001/81/EC. </w:t>
      </w:r>
      <w:hyperlink r:id="rId24" w:history="1">
        <w:r w:rsidR="0011325F" w:rsidRPr="006273D1">
          <w:rPr>
            <w:rStyle w:val="Hipersaitas"/>
          </w:rPr>
          <w:t>http://eur-lex.europa.eu/legal-content/EN/TXT/?uri=uriserv%3AOJ.L_.2016.344.01.0001.01.ENG</w:t>
        </w:r>
      </w:hyperlink>
      <w:r w:rsidR="0011325F" w:rsidRPr="006273D1">
        <w:rPr>
          <w:rStyle w:val="Hipersaitas"/>
        </w:rPr>
        <w:t xml:space="preserve"> </w:t>
      </w:r>
    </w:p>
    <w:p w14:paraId="36B0F436" w14:textId="77777777" w:rsidR="00D97124" w:rsidRPr="00DB7E29" w:rsidRDefault="00D97124">
      <w:pPr>
        <w:rPr>
          <w:bCs/>
          <w:sz w:val="20"/>
          <w:szCs w:val="20"/>
        </w:rPr>
      </w:pPr>
    </w:p>
    <w:sectPr w:rsidR="00D97124" w:rsidRPr="00DB7E29" w:rsidSect="00C938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05AC7" w14:textId="77777777" w:rsidR="00C10978" w:rsidRDefault="00C10978" w:rsidP="00892E68">
      <w:pPr>
        <w:spacing w:after="0" w:line="240" w:lineRule="auto"/>
      </w:pPr>
      <w:r>
        <w:separator/>
      </w:r>
    </w:p>
  </w:endnote>
  <w:endnote w:type="continuationSeparator" w:id="0">
    <w:p w14:paraId="4382A873" w14:textId="77777777" w:rsidR="00C10978" w:rsidRDefault="00C10978" w:rsidP="0089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5230" w14:textId="77777777" w:rsidR="00C10978" w:rsidRDefault="00C10978" w:rsidP="00892E68">
      <w:pPr>
        <w:spacing w:after="0" w:line="240" w:lineRule="auto"/>
      </w:pPr>
      <w:r>
        <w:separator/>
      </w:r>
    </w:p>
  </w:footnote>
  <w:footnote w:type="continuationSeparator" w:id="0">
    <w:p w14:paraId="0A81041B" w14:textId="77777777" w:rsidR="00C10978" w:rsidRDefault="00C10978" w:rsidP="00892E68">
      <w:pPr>
        <w:spacing w:after="0" w:line="240" w:lineRule="auto"/>
      </w:pPr>
      <w:r>
        <w:continuationSeparator/>
      </w:r>
    </w:p>
  </w:footnote>
  <w:footnote w:id="1">
    <w:p w14:paraId="0EC159F7" w14:textId="53916ACE" w:rsidR="008C5911" w:rsidRDefault="008C5911" w:rsidP="00610486">
      <w:pPr>
        <w:pStyle w:val="Puslapioinaostekstas"/>
      </w:pPr>
      <w:r>
        <w:rPr>
          <w:rStyle w:val="Puslapioinaosnuoroda"/>
        </w:rPr>
        <w:footnoteRef/>
      </w:r>
      <w:r>
        <w:t xml:space="preserve"> </w:t>
      </w:r>
      <w:r w:rsidRPr="008C5911">
        <w:t>As this review relates to a legal obligation that was due by 15 February 2020, the UK is included in the review as per the transition period arrangements following its withdrawal from the EU.</w:t>
      </w:r>
    </w:p>
  </w:footnote>
  <w:footnote w:id="2">
    <w:p w14:paraId="2AA50384" w14:textId="77777777" w:rsidR="008C5911" w:rsidRDefault="008C5911" w:rsidP="00610486">
      <w:pPr>
        <w:pStyle w:val="Puslapioinaostekstas"/>
      </w:pPr>
      <w:r>
        <w:rPr>
          <w:rStyle w:val="Puslapioinaosnuoroda"/>
        </w:rPr>
        <w:footnoteRef/>
      </w:r>
      <w:r>
        <w:t xml:space="preserve"> </w:t>
      </w:r>
      <w:r w:rsidRPr="000973B0">
        <w:t>DIRECTIVE (EU) 2016/2284 OF THE EUROPEAN PARLIAMENT AND OF THE COUNCIL of 14 December 2016 on the reduction of national emissions of certain atmospheric pollutants, amending Directive 2003/35/EC and repealing Directive 2001/81/EC</w:t>
      </w:r>
    </w:p>
  </w:footnote>
  <w:footnote w:id="3">
    <w:p w14:paraId="4A6CFCD5" w14:textId="3C3558D1" w:rsidR="00B8596C" w:rsidRDefault="00B8596C">
      <w:pPr>
        <w:pStyle w:val="Puslapioinaostekstas"/>
      </w:pPr>
      <w:r>
        <w:rPr>
          <w:rStyle w:val="Puslapioinaosnuoroda"/>
        </w:rPr>
        <w:footnoteRef/>
      </w:r>
      <w:r>
        <w:t xml:space="preserve"> NECD Review 2019 reports are a</w:t>
      </w:r>
      <w:r w:rsidRPr="007A00EF">
        <w:rPr>
          <w:rStyle w:val="Hipersaitas"/>
          <w:color w:val="auto"/>
          <w:u w:val="none"/>
        </w:rPr>
        <w:t xml:space="preserve">vailable at </w:t>
      </w:r>
      <w:hyperlink r:id="rId1" w:history="1">
        <w:r w:rsidRPr="008C5911">
          <w:rPr>
            <w:rStyle w:val="Hipersaitas"/>
          </w:rPr>
          <w:t>http://ec.europa.eu/environment/air/reduction/implementation.html</w:t>
        </w:r>
      </w:hyperlink>
    </w:p>
  </w:footnote>
  <w:footnote w:id="4">
    <w:p w14:paraId="5811482B" w14:textId="56E259DA" w:rsidR="008C5911" w:rsidRDefault="008C5911" w:rsidP="00610486">
      <w:pPr>
        <w:pStyle w:val="Puslapioinaostekstas"/>
      </w:pPr>
      <w:r>
        <w:rPr>
          <w:rStyle w:val="Puslapioinaosnuoroda"/>
        </w:rPr>
        <w:footnoteRef/>
      </w:r>
      <w:r w:rsidRPr="00610486">
        <w:t xml:space="preserve"> </w:t>
      </w:r>
      <w:r w:rsidR="00B8596C" w:rsidRPr="007A00EF">
        <w:rPr>
          <w:rStyle w:val="Hipersaitas"/>
          <w:color w:val="auto"/>
          <w:u w:val="none"/>
        </w:rPr>
        <w:t xml:space="preserve">Available at </w:t>
      </w:r>
      <w:hyperlink r:id="rId2" w:history="1">
        <w:r w:rsidR="00B8596C" w:rsidRPr="00461F03">
          <w:rPr>
            <w:rStyle w:val="Hipersaitas"/>
          </w:rPr>
          <w:t>http://www.ceip.at/fileadmin/inhalte/emep/Adjustments/ECE_EB_AIR_130_AV_for_the_web.pdf</w:t>
        </w:r>
      </w:hyperlink>
      <w:r w:rsidR="00B8596C">
        <w:t xml:space="preserve">  </w:t>
      </w:r>
    </w:p>
  </w:footnote>
  <w:footnote w:id="5">
    <w:p w14:paraId="2A24D768" w14:textId="67AC012C" w:rsidR="006E72F8" w:rsidRDefault="006E72F8">
      <w:pPr>
        <w:pStyle w:val="Puslapioinaostekstas"/>
      </w:pPr>
      <w:r>
        <w:rPr>
          <w:rStyle w:val="Puslapioinaosnuoroda"/>
        </w:rPr>
        <w:footnoteRef/>
      </w:r>
      <w:r>
        <w:t xml:space="preserve"> </w:t>
      </w:r>
      <w:r w:rsidRPr="006E72F8">
        <w:t>The Annexes to the Reporting Guidelines are available at https://www.ceip.at/reporting-instructions/annexes-to-the-2014-reporting-guidelines.</w:t>
      </w:r>
    </w:p>
  </w:footnote>
  <w:footnote w:id="6">
    <w:p w14:paraId="2A0A891E" w14:textId="77777777" w:rsidR="008C5911" w:rsidRDefault="008C5911" w:rsidP="00E9646F">
      <w:pPr>
        <w:pStyle w:val="Puslapioinaostekstas"/>
      </w:pPr>
      <w:r>
        <w:rPr>
          <w:rStyle w:val="Puslapioinaosnuoroda"/>
        </w:rPr>
        <w:footnoteRef/>
      </w:r>
      <w:r>
        <w:t xml:space="preserve"> Available at </w:t>
      </w:r>
      <w:hyperlink r:id="rId3" w:history="1">
        <w:r w:rsidRPr="004A420F">
          <w:rPr>
            <w:rStyle w:val="Hipersaitas"/>
          </w:rPr>
          <w:t>https://eur-lex.europa.eu/eli/dir/2001/81/2018-07-01</w:t>
        </w:r>
      </w:hyperlink>
      <w:r>
        <w:t xml:space="preserve"> </w:t>
      </w:r>
    </w:p>
  </w:footnote>
  <w:footnote w:id="7">
    <w:p w14:paraId="713B0229" w14:textId="77777777" w:rsidR="008C5911" w:rsidRDefault="008C5911" w:rsidP="00E9646F">
      <w:pPr>
        <w:pStyle w:val="Puslapioinaostekstas"/>
      </w:pPr>
      <w:r>
        <w:rPr>
          <w:rStyle w:val="Puslapioinaosnuoroda"/>
        </w:rPr>
        <w:footnoteRef/>
      </w:r>
      <w:r>
        <w:t xml:space="preserve"> </w:t>
      </w:r>
      <w:r w:rsidRPr="00EB686E">
        <w:t>The tables presented in this report show numbers rounded to three decimal places, although most numbers are available with greater prec</w:t>
      </w:r>
      <w:r>
        <w:t xml:space="preserve">ision. For all calculations, </w:t>
      </w:r>
      <w:r w:rsidRPr="00EB686E">
        <w:t>all available decimal places were used. Therefore, the totals shown may slightly differ from calculation results where only three decimals would be taken into account.</w:t>
      </w:r>
    </w:p>
  </w:footnote>
  <w:footnote w:id="8">
    <w:p w14:paraId="45AF904E" w14:textId="4393FE79" w:rsidR="0013725B" w:rsidRDefault="0013725B">
      <w:pPr>
        <w:pStyle w:val="Puslapioinaostekstas"/>
      </w:pPr>
      <w:r>
        <w:rPr>
          <w:rStyle w:val="Puslapioinaosnuoroda"/>
        </w:rPr>
        <w:footnoteRef/>
      </w:r>
      <w:r>
        <w:t xml:space="preserve"> </w:t>
      </w:r>
      <w:r w:rsidRPr="0013725B">
        <w:t>As defined in Annex I The 'National Total for Compliance (NECD)' includes the ‘National Total (based on fuel sold)’ (row 141) corrected for i) approved adjustments and flexibilities to national totals (row 153) and, if applicable, ii) national totals based on transport fuel used (rows 143-149) as well as iii) the subtraction of sectors 3B + 3D for NOx and NMVOC (only from 2020 onwards and for the year 2005 as a basis for emission reduction commitment calculations), according to the NEC Directive, Article 4/3(d).</w:t>
      </w:r>
    </w:p>
  </w:footnote>
  <w:footnote w:id="9">
    <w:p w14:paraId="7FCEDCEC" w14:textId="77777777" w:rsidR="008C5911" w:rsidRDefault="008C5911" w:rsidP="00610486">
      <w:pPr>
        <w:pStyle w:val="Puslapioinaostekstas"/>
      </w:pPr>
      <w:r>
        <w:rPr>
          <w:rStyle w:val="Puslapioinaosnuoroda"/>
        </w:rPr>
        <w:footnoteRef/>
      </w:r>
      <w:r>
        <w:t xml:space="preserve"> </w:t>
      </w:r>
      <w:r w:rsidRPr="00EB686E">
        <w:t>The tables presented in this report show numbers rounded to three decimal places, although most numbers are available with greater prec</w:t>
      </w:r>
      <w:r>
        <w:t xml:space="preserve">ision. For all calculations, </w:t>
      </w:r>
      <w:r w:rsidRPr="00EB686E">
        <w:t>all available decimal places were used. Therefore, the totals shown may slightly differ from calculation results where only three decimals would be taken into account.</w:t>
      </w:r>
    </w:p>
  </w:footnote>
  <w:footnote w:id="10">
    <w:p w14:paraId="621C4424" w14:textId="175971A6" w:rsidR="0013725B" w:rsidRDefault="0013725B">
      <w:pPr>
        <w:pStyle w:val="Puslapioinaostekstas"/>
      </w:pPr>
      <w:r>
        <w:rPr>
          <w:rStyle w:val="Puslapioinaosnuoroda"/>
        </w:rPr>
        <w:footnoteRef/>
      </w:r>
      <w:r>
        <w:t xml:space="preserve"> </w:t>
      </w:r>
      <w:r w:rsidRPr="0013725B">
        <w:t>As defined in Annex I The 'National Total for Compliance (NECD)' includes the ‘National Total (based on fuel sold)’ (row 141) corrected for i) approved adjustments and flexibilities to national totals (row 153) and, if applicable, ii) national totals based on transport fuel used (rows 143-149) as well as iii) the subtraction of sectors 3B + 3D for NOx and NMVOC (only from 2020 onwards and for the year 2005 as a basis for emission reduction commitment calculations), according to the NEC Directive, Article 4/3(d).</w:t>
      </w:r>
    </w:p>
  </w:footnote>
  <w:footnote w:id="11">
    <w:p w14:paraId="3DFE37A8" w14:textId="77777777" w:rsidR="008C5911" w:rsidRPr="00905204" w:rsidRDefault="008C5911" w:rsidP="00610486">
      <w:pPr>
        <w:pStyle w:val="Puslapioinaostekstas"/>
        <w:rPr>
          <w:lang w:val="en-US"/>
        </w:rPr>
      </w:pPr>
      <w:r w:rsidRPr="0018272C">
        <w:rPr>
          <w:vertAlign w:val="superscript"/>
        </w:rPr>
        <w:footnoteRef/>
      </w:r>
      <w:r>
        <w:t xml:space="preserve"> </w:t>
      </w:r>
      <w:r w:rsidRPr="0018272C">
        <w:t>Technical guidance on methodologies for adjustments under Article 5, paragraph 2, of the Kyoto Protocol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A75"/>
    <w:multiLevelType w:val="hybridMultilevel"/>
    <w:tmpl w:val="A1E43F80"/>
    <w:lvl w:ilvl="0" w:tplc="99F278E8">
      <w:start w:val="1"/>
      <w:numFmt w:val="upperRoman"/>
      <w:pStyle w:val="Antrat2"/>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64B1F"/>
    <w:multiLevelType w:val="hybridMultilevel"/>
    <w:tmpl w:val="60BA36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C3568"/>
    <w:multiLevelType w:val="hybridMultilevel"/>
    <w:tmpl w:val="27DEFB84"/>
    <w:lvl w:ilvl="0" w:tplc="8C46EB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2602C"/>
    <w:multiLevelType w:val="hybridMultilevel"/>
    <w:tmpl w:val="80CEECD8"/>
    <w:lvl w:ilvl="0" w:tplc="DBBC7E02">
      <w:start w:val="1"/>
      <w:numFmt w:val="bullet"/>
      <w:pStyle w:val="bullet"/>
      <w:lvlText w:val=""/>
      <w:lvlJc w:val="left"/>
      <w:pPr>
        <w:ind w:left="0" w:firstLine="0"/>
      </w:pPr>
      <w:rPr>
        <w:rFonts w:ascii="Symbol" w:hAnsi="Symbol" w:hint="default"/>
        <w:lang w:val="en-GB"/>
      </w:rPr>
    </w:lvl>
    <w:lvl w:ilvl="1" w:tplc="0C070001">
      <w:start w:val="1"/>
      <w:numFmt w:val="bullet"/>
      <w:lvlText w:val=""/>
      <w:lvlJc w:val="left"/>
      <w:pPr>
        <w:ind w:left="-1821" w:hanging="360"/>
      </w:pPr>
      <w:rPr>
        <w:rFonts w:ascii="Symbol" w:hAnsi="Symbol" w:hint="default"/>
      </w:rPr>
    </w:lvl>
    <w:lvl w:ilvl="2" w:tplc="0809001B">
      <w:start w:val="1"/>
      <w:numFmt w:val="lowerRoman"/>
      <w:lvlText w:val="%3."/>
      <w:lvlJc w:val="right"/>
      <w:pPr>
        <w:ind w:left="-1101" w:hanging="180"/>
      </w:pPr>
    </w:lvl>
    <w:lvl w:ilvl="3" w:tplc="0809000F">
      <w:start w:val="1"/>
      <w:numFmt w:val="decimal"/>
      <w:lvlText w:val="%4."/>
      <w:lvlJc w:val="left"/>
      <w:pPr>
        <w:ind w:left="-381" w:hanging="360"/>
      </w:pPr>
    </w:lvl>
    <w:lvl w:ilvl="4" w:tplc="08090019" w:tentative="1">
      <w:start w:val="1"/>
      <w:numFmt w:val="lowerLetter"/>
      <w:lvlText w:val="%5."/>
      <w:lvlJc w:val="left"/>
      <w:pPr>
        <w:ind w:left="339" w:hanging="360"/>
      </w:pPr>
    </w:lvl>
    <w:lvl w:ilvl="5" w:tplc="0809001B" w:tentative="1">
      <w:start w:val="1"/>
      <w:numFmt w:val="lowerRoman"/>
      <w:lvlText w:val="%6."/>
      <w:lvlJc w:val="right"/>
      <w:pPr>
        <w:ind w:left="1059" w:hanging="180"/>
      </w:pPr>
    </w:lvl>
    <w:lvl w:ilvl="6" w:tplc="0809000F" w:tentative="1">
      <w:start w:val="1"/>
      <w:numFmt w:val="decimal"/>
      <w:lvlText w:val="%7."/>
      <w:lvlJc w:val="left"/>
      <w:pPr>
        <w:ind w:left="1779" w:hanging="360"/>
      </w:pPr>
    </w:lvl>
    <w:lvl w:ilvl="7" w:tplc="08090019" w:tentative="1">
      <w:start w:val="1"/>
      <w:numFmt w:val="lowerLetter"/>
      <w:lvlText w:val="%8."/>
      <w:lvlJc w:val="left"/>
      <w:pPr>
        <w:ind w:left="2499" w:hanging="360"/>
      </w:pPr>
    </w:lvl>
    <w:lvl w:ilvl="8" w:tplc="0809001B" w:tentative="1">
      <w:start w:val="1"/>
      <w:numFmt w:val="lowerRoman"/>
      <w:lvlText w:val="%9."/>
      <w:lvlJc w:val="right"/>
      <w:pPr>
        <w:ind w:left="3219" w:hanging="180"/>
      </w:pPr>
    </w:lvl>
  </w:abstractNum>
  <w:abstractNum w:abstractNumId="4" w15:restartNumberingAfterBreak="0">
    <w:nsid w:val="195054DD"/>
    <w:multiLevelType w:val="hybridMultilevel"/>
    <w:tmpl w:val="5DE8FF5A"/>
    <w:lvl w:ilvl="0" w:tplc="EE1EB6B6">
      <w:start w:val="1"/>
      <w:numFmt w:val="decimal"/>
      <w:pStyle w:val="Annex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63051"/>
    <w:multiLevelType w:val="hybridMultilevel"/>
    <w:tmpl w:val="8C9CE98C"/>
    <w:lvl w:ilvl="0" w:tplc="185E47E4">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2CF318E3"/>
    <w:multiLevelType w:val="hybridMultilevel"/>
    <w:tmpl w:val="CD9C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C2C74"/>
    <w:multiLevelType w:val="hybridMultilevel"/>
    <w:tmpl w:val="24AC402C"/>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8" w15:restartNumberingAfterBreak="0">
    <w:nsid w:val="3BF44BCA"/>
    <w:multiLevelType w:val="hybridMultilevel"/>
    <w:tmpl w:val="392820F8"/>
    <w:lvl w:ilvl="0" w:tplc="32C63268">
      <w:start w:val="1"/>
      <w:numFmt w:val="upperRoman"/>
      <w:pStyle w:val="Antrat1"/>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C702B"/>
    <w:multiLevelType w:val="hybridMultilevel"/>
    <w:tmpl w:val="D116C468"/>
    <w:lvl w:ilvl="0" w:tplc="3D6E2634">
      <w:start w:val="1"/>
      <w:numFmt w:val="decimal"/>
      <w:lvlText w:val="%1"/>
      <w:lvlJc w:val="left"/>
      <w:pPr>
        <w:ind w:left="432" w:hanging="432"/>
      </w:pPr>
      <w:rPr>
        <w:rFonts w:hint="default"/>
      </w:rPr>
    </w:lvl>
    <w:lvl w:ilvl="1" w:tplc="25B4E6A0">
      <w:start w:val="1"/>
      <w:numFmt w:val="upperRoman"/>
      <w:lvlText w:val="%2."/>
      <w:lvlJc w:val="right"/>
      <w:pPr>
        <w:ind w:left="576" w:hanging="576"/>
      </w:pPr>
      <w:rPr>
        <w:rFonts w:hint="default"/>
      </w:rPr>
    </w:lvl>
    <w:lvl w:ilvl="2" w:tplc="1B4A5FD4">
      <w:start w:val="1"/>
      <w:numFmt w:val="lowerLetter"/>
      <w:pStyle w:val="Heading3Aether"/>
      <w:lvlText w:val="%3)"/>
      <w:lvlJc w:val="left"/>
      <w:pPr>
        <w:ind w:left="1288" w:hanging="720"/>
      </w:pPr>
      <w:rPr>
        <w:rFonts w:hint="default"/>
      </w:rPr>
    </w:lvl>
    <w:lvl w:ilvl="3" w:tplc="BA025F68">
      <w:start w:val="1"/>
      <w:numFmt w:val="decimal"/>
      <w:lvlText w:val="%1.%2.%3.%4"/>
      <w:lvlJc w:val="left"/>
      <w:pPr>
        <w:ind w:left="864" w:hanging="864"/>
      </w:pPr>
      <w:rPr>
        <w:rFonts w:hint="default"/>
      </w:rPr>
    </w:lvl>
    <w:lvl w:ilvl="4" w:tplc="B4EAF53C">
      <w:start w:val="1"/>
      <w:numFmt w:val="decimal"/>
      <w:lvlText w:val="%1.%2.%3.%4.%5"/>
      <w:lvlJc w:val="left"/>
      <w:pPr>
        <w:ind w:left="1008" w:hanging="1008"/>
      </w:pPr>
      <w:rPr>
        <w:rFonts w:hint="default"/>
      </w:rPr>
    </w:lvl>
    <w:lvl w:ilvl="5" w:tplc="87183B44">
      <w:start w:val="1"/>
      <w:numFmt w:val="decimal"/>
      <w:lvlText w:val="%1.%2.%3.%4.%5.%6"/>
      <w:lvlJc w:val="left"/>
      <w:pPr>
        <w:ind w:left="1152" w:hanging="1152"/>
      </w:pPr>
      <w:rPr>
        <w:rFonts w:hint="default"/>
      </w:rPr>
    </w:lvl>
    <w:lvl w:ilvl="6" w:tplc="03C2984E">
      <w:start w:val="1"/>
      <w:numFmt w:val="decimal"/>
      <w:lvlText w:val="%1.%2.%3.%4.%5.%6.%7"/>
      <w:lvlJc w:val="left"/>
      <w:pPr>
        <w:ind w:left="1296" w:hanging="1296"/>
      </w:pPr>
      <w:rPr>
        <w:rFonts w:hint="default"/>
      </w:rPr>
    </w:lvl>
    <w:lvl w:ilvl="7" w:tplc="7736F52C">
      <w:start w:val="1"/>
      <w:numFmt w:val="decimal"/>
      <w:lvlText w:val="%1.%2.%3.%4.%5.%6.%7.%8"/>
      <w:lvlJc w:val="left"/>
      <w:pPr>
        <w:ind w:left="1440" w:hanging="1440"/>
      </w:pPr>
      <w:rPr>
        <w:rFonts w:hint="default"/>
      </w:rPr>
    </w:lvl>
    <w:lvl w:ilvl="8" w:tplc="4DE84926">
      <w:start w:val="1"/>
      <w:numFmt w:val="decimal"/>
      <w:lvlText w:val="%1.%2.%3.%4.%5.%6.%7.%8.%9"/>
      <w:lvlJc w:val="left"/>
      <w:pPr>
        <w:ind w:left="1584" w:hanging="1584"/>
      </w:pPr>
      <w:rPr>
        <w:rFonts w:hint="default"/>
      </w:rPr>
    </w:lvl>
  </w:abstractNum>
  <w:abstractNum w:abstractNumId="10" w15:restartNumberingAfterBreak="0">
    <w:nsid w:val="630D3607"/>
    <w:multiLevelType w:val="hybridMultilevel"/>
    <w:tmpl w:val="801C568A"/>
    <w:lvl w:ilvl="0" w:tplc="67B86BB4">
      <w:start w:val="1"/>
      <w:numFmt w:val="lowerLetter"/>
      <w:pStyle w:val="Annex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895080"/>
    <w:multiLevelType w:val="hybridMultilevel"/>
    <w:tmpl w:val="F7ECB50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325B83"/>
    <w:multiLevelType w:val="hybridMultilevel"/>
    <w:tmpl w:val="FCDAB9D0"/>
    <w:lvl w:ilvl="0" w:tplc="0407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B01BF0"/>
    <w:multiLevelType w:val="hybridMultilevel"/>
    <w:tmpl w:val="B2DE5B42"/>
    <w:lvl w:ilvl="0" w:tplc="78280DF2">
      <w:start w:val="1"/>
      <w:numFmt w:val="decimal"/>
      <w:pStyle w:val="StandardNum"/>
      <w:lvlText w:val="%1."/>
      <w:lvlJc w:val="left"/>
      <w:pPr>
        <w:ind w:left="3261" w:firstLine="0"/>
      </w:pPr>
      <w:rPr>
        <w:rFonts w:hint="default"/>
        <w:lang w:val="en-GB"/>
      </w:rPr>
    </w:lvl>
    <w:lvl w:ilvl="1" w:tplc="0C07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367CF"/>
    <w:multiLevelType w:val="hybridMultilevel"/>
    <w:tmpl w:val="4942E564"/>
    <w:lvl w:ilvl="0" w:tplc="DCDEC1B4">
      <w:start w:val="1"/>
      <w:numFmt w:val="decimal"/>
      <w:lvlText w:val="%1"/>
      <w:lvlJc w:val="left"/>
      <w:pPr>
        <w:ind w:left="432" w:hanging="432"/>
      </w:pPr>
      <w:rPr>
        <w:rFonts w:hint="default"/>
      </w:rPr>
    </w:lvl>
    <w:lvl w:ilvl="1" w:tplc="B29A6950">
      <w:start w:val="1"/>
      <w:numFmt w:val="decimal"/>
      <w:pStyle w:val="Heading2Aether"/>
      <w:lvlText w:val="%2"/>
      <w:lvlJc w:val="left"/>
      <w:pPr>
        <w:ind w:left="576" w:hanging="576"/>
      </w:pPr>
      <w:rPr>
        <w:rFonts w:hint="default"/>
      </w:rPr>
    </w:lvl>
    <w:lvl w:ilvl="2" w:tplc="A246E44A">
      <w:start w:val="1"/>
      <w:numFmt w:val="decimal"/>
      <w:lvlText w:val="%1.%2.%3"/>
      <w:lvlJc w:val="left"/>
      <w:pPr>
        <w:ind w:left="1288" w:hanging="720"/>
      </w:pPr>
      <w:rPr>
        <w:rFonts w:hint="default"/>
      </w:rPr>
    </w:lvl>
    <w:lvl w:ilvl="3" w:tplc="8A0C803E">
      <w:start w:val="1"/>
      <w:numFmt w:val="decimal"/>
      <w:lvlText w:val="%1.%2.%3.%4"/>
      <w:lvlJc w:val="left"/>
      <w:pPr>
        <w:ind w:left="864" w:hanging="864"/>
      </w:pPr>
      <w:rPr>
        <w:rFonts w:hint="default"/>
      </w:rPr>
    </w:lvl>
    <w:lvl w:ilvl="4" w:tplc="2FB0C0E8">
      <w:start w:val="1"/>
      <w:numFmt w:val="decimal"/>
      <w:lvlText w:val="%1.%2.%3.%4.%5"/>
      <w:lvlJc w:val="left"/>
      <w:pPr>
        <w:ind w:left="1008" w:hanging="1008"/>
      </w:pPr>
      <w:rPr>
        <w:rFonts w:hint="default"/>
      </w:rPr>
    </w:lvl>
    <w:lvl w:ilvl="5" w:tplc="0B54E87A">
      <w:start w:val="1"/>
      <w:numFmt w:val="decimal"/>
      <w:lvlText w:val="%1.%2.%3.%4.%5.%6"/>
      <w:lvlJc w:val="left"/>
      <w:pPr>
        <w:ind w:left="1152" w:hanging="1152"/>
      </w:pPr>
      <w:rPr>
        <w:rFonts w:hint="default"/>
      </w:rPr>
    </w:lvl>
    <w:lvl w:ilvl="6" w:tplc="171007F4">
      <w:start w:val="1"/>
      <w:numFmt w:val="decimal"/>
      <w:lvlText w:val="%1.%2.%3.%4.%5.%6.%7"/>
      <w:lvlJc w:val="left"/>
      <w:pPr>
        <w:ind w:left="1296" w:hanging="1296"/>
      </w:pPr>
      <w:rPr>
        <w:rFonts w:hint="default"/>
      </w:rPr>
    </w:lvl>
    <w:lvl w:ilvl="7" w:tplc="6EF63468">
      <w:start w:val="1"/>
      <w:numFmt w:val="decimal"/>
      <w:lvlText w:val="%1.%2.%3.%4.%5.%6.%7.%8"/>
      <w:lvlJc w:val="left"/>
      <w:pPr>
        <w:ind w:left="1440" w:hanging="1440"/>
      </w:pPr>
      <w:rPr>
        <w:rFonts w:hint="default"/>
      </w:rPr>
    </w:lvl>
    <w:lvl w:ilvl="8" w:tplc="0064575E">
      <w:start w:val="1"/>
      <w:numFmt w:val="decimal"/>
      <w:lvlText w:val="%1.%2.%3.%4.%5.%6.%7.%8.%9"/>
      <w:lvlJc w:val="left"/>
      <w:pPr>
        <w:ind w:left="1584" w:hanging="1584"/>
      </w:pPr>
      <w:rPr>
        <w:rFonts w:hint="default"/>
      </w:rPr>
    </w:lvl>
  </w:abstractNum>
  <w:abstractNum w:abstractNumId="15" w15:restartNumberingAfterBreak="0">
    <w:nsid w:val="6DA114FF"/>
    <w:multiLevelType w:val="hybridMultilevel"/>
    <w:tmpl w:val="619639EA"/>
    <w:lvl w:ilvl="0" w:tplc="48C06E38">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94202A"/>
    <w:multiLevelType w:val="hybridMultilevel"/>
    <w:tmpl w:val="EE643076"/>
    <w:name w:val="Reg96"/>
    <w:lvl w:ilvl="0" w:tplc="3BA8E838">
      <w:start w:val="1"/>
      <w:numFmt w:val="upperRoman"/>
      <w:pStyle w:val="RegHead1"/>
      <w:suff w:val="space"/>
      <w:lvlText w:val="%1. "/>
      <w:lvlJc w:val="center"/>
      <w:pPr>
        <w:ind w:left="0" w:firstLine="0"/>
      </w:pPr>
      <w:rPr>
        <w:sz w:val="28"/>
      </w:rPr>
    </w:lvl>
    <w:lvl w:ilvl="1" w:tplc="3300163E">
      <w:start w:val="1"/>
      <w:numFmt w:val="upperLetter"/>
      <w:pStyle w:val="RegHead2"/>
      <w:suff w:val="space"/>
      <w:lvlText w:val="%2. "/>
      <w:lvlJc w:val="center"/>
      <w:pPr>
        <w:ind w:left="0" w:firstLine="0"/>
      </w:pPr>
      <w:rPr>
        <w:b/>
        <w:sz w:val="22"/>
        <w:u w:val="none"/>
      </w:rPr>
    </w:lvl>
    <w:lvl w:ilvl="2" w:tplc="9168CC04">
      <w:start w:val="1"/>
      <w:numFmt w:val="decimal"/>
      <w:pStyle w:val="RegHead3"/>
      <w:suff w:val="space"/>
      <w:lvlText w:val="%3. "/>
      <w:lvlJc w:val="center"/>
      <w:pPr>
        <w:ind w:left="0" w:firstLine="0"/>
      </w:pPr>
      <w:rPr>
        <w:b w:val="0"/>
        <w:sz w:val="22"/>
        <w:u w:val="none"/>
      </w:rPr>
    </w:lvl>
    <w:lvl w:ilvl="3" w:tplc="64602C8E">
      <w:start w:val="1"/>
      <w:numFmt w:val="decimal"/>
      <w:lvlRestart w:val="0"/>
      <w:pStyle w:val="RegPara"/>
      <w:lvlText w:val="%4."/>
      <w:lvlJc w:val="left"/>
      <w:pPr>
        <w:tabs>
          <w:tab w:val="num" w:pos="720"/>
        </w:tabs>
        <w:ind w:left="0" w:firstLine="0"/>
      </w:pPr>
      <w:rPr>
        <w:b w:val="0"/>
        <w:sz w:val="22"/>
      </w:rPr>
    </w:lvl>
    <w:lvl w:ilvl="4" w:tplc="A31C14BC">
      <w:start w:val="1"/>
      <w:numFmt w:val="lowerLetter"/>
      <w:lvlText w:val="(%5)"/>
      <w:lvlJc w:val="left"/>
      <w:pPr>
        <w:tabs>
          <w:tab w:val="num" w:pos="1440"/>
        </w:tabs>
        <w:ind w:left="1440" w:hanging="720"/>
      </w:pPr>
      <w:rPr>
        <w:b w:val="0"/>
        <w:sz w:val="22"/>
      </w:rPr>
    </w:lvl>
    <w:lvl w:ilvl="5" w:tplc="C2A6FADC">
      <w:start w:val="1"/>
      <w:numFmt w:val="lowerRoman"/>
      <w:lvlText w:val="(%6)"/>
      <w:lvlJc w:val="right"/>
      <w:pPr>
        <w:tabs>
          <w:tab w:val="num" w:pos="2160"/>
        </w:tabs>
        <w:ind w:left="2160" w:hanging="573"/>
      </w:pPr>
    </w:lvl>
    <w:lvl w:ilvl="6" w:tplc="6AF6F8D0">
      <w:start w:val="1"/>
      <w:numFmt w:val="lowerLetter"/>
      <w:lvlText w:val=""/>
      <w:lvlJc w:val="left"/>
      <w:pPr>
        <w:tabs>
          <w:tab w:val="num" w:pos="2880"/>
        </w:tabs>
        <w:ind w:left="2880" w:hanging="720"/>
      </w:pPr>
      <w:rPr>
        <w:rFonts w:ascii="Symbol" w:hAnsi="Symbol" w:hint="default"/>
      </w:rPr>
    </w:lvl>
    <w:lvl w:ilvl="7" w:tplc="CC7E8010">
      <w:start w:val="1"/>
      <w:numFmt w:val="none"/>
      <w:lvlText w:val="[%4.%8"/>
      <w:lvlJc w:val="left"/>
      <w:pPr>
        <w:tabs>
          <w:tab w:val="num" w:pos="720"/>
        </w:tabs>
        <w:ind w:left="0" w:firstLine="0"/>
      </w:pPr>
    </w:lvl>
    <w:lvl w:ilvl="8" w:tplc="43FA1B58">
      <w:start w:val="1"/>
      <w:numFmt w:val="none"/>
      <w:lvlText w:val="[(%5)%9"/>
      <w:lvlJc w:val="left"/>
      <w:pPr>
        <w:tabs>
          <w:tab w:val="num" w:pos="1440"/>
        </w:tabs>
        <w:ind w:left="1440" w:hanging="720"/>
      </w:pPr>
    </w:lvl>
  </w:abstractNum>
  <w:abstractNum w:abstractNumId="17" w15:restartNumberingAfterBreak="0">
    <w:nsid w:val="79981684"/>
    <w:multiLevelType w:val="hybridMultilevel"/>
    <w:tmpl w:val="D374C5EE"/>
    <w:lvl w:ilvl="0" w:tplc="A948A95E">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11"/>
  </w:num>
  <w:num w:numId="5">
    <w:abstractNumId w:val="16"/>
  </w:num>
  <w:num w:numId="6">
    <w:abstractNumId w:val="5"/>
  </w:num>
  <w:num w:numId="7">
    <w:abstractNumId w:val="14"/>
  </w:num>
  <w:num w:numId="8">
    <w:abstractNumId w:val="3"/>
  </w:num>
  <w:num w:numId="9">
    <w:abstractNumId w:val="6"/>
  </w:num>
  <w:num w:numId="10">
    <w:abstractNumId w:val="8"/>
  </w:num>
  <w:num w:numId="11">
    <w:abstractNumId w:val="8"/>
    <w:lvlOverride w:ilvl="0">
      <w:startOverride w:val="1"/>
    </w:lvlOverride>
  </w:num>
  <w:num w:numId="12">
    <w:abstractNumId w:val="17"/>
  </w:num>
  <w:num w:numId="13">
    <w:abstractNumId w:val="1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num>
  <w:num w:numId="17">
    <w:abstractNumId w:val="13"/>
  </w:num>
  <w:num w:numId="18">
    <w:abstractNumId w:val="13"/>
  </w:num>
  <w:num w:numId="19">
    <w:abstractNumId w:val="7"/>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15"/>
  </w:num>
  <w:num w:numId="24">
    <w:abstractNumId w:val="0"/>
  </w:num>
  <w:num w:numId="25">
    <w:abstractNumId w:val="2"/>
  </w:num>
  <w:num w:numId="26">
    <w:abstractNumId w:val="4"/>
  </w:num>
  <w:num w:numId="27">
    <w:abstractNumId w:val="1"/>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BE"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s-ES" w:vendorID="64" w:dllVersion="0" w:nlCheck="1" w:checkStyle="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257A4"/>
    <w:rsid w:val="00000859"/>
    <w:rsid w:val="000012A4"/>
    <w:rsid w:val="00002A60"/>
    <w:rsid w:val="000058F0"/>
    <w:rsid w:val="00007FC8"/>
    <w:rsid w:val="00015631"/>
    <w:rsid w:val="0001599C"/>
    <w:rsid w:val="00016EA1"/>
    <w:rsid w:val="000200CB"/>
    <w:rsid w:val="00020967"/>
    <w:rsid w:val="000244CC"/>
    <w:rsid w:val="00026108"/>
    <w:rsid w:val="00026B35"/>
    <w:rsid w:val="00027151"/>
    <w:rsid w:val="00036B76"/>
    <w:rsid w:val="00044ADC"/>
    <w:rsid w:val="000458D5"/>
    <w:rsid w:val="000546B7"/>
    <w:rsid w:val="00054FF8"/>
    <w:rsid w:val="000612C2"/>
    <w:rsid w:val="000614A0"/>
    <w:rsid w:val="00061AB6"/>
    <w:rsid w:val="00063FAF"/>
    <w:rsid w:val="00064F61"/>
    <w:rsid w:val="00065837"/>
    <w:rsid w:val="000701DD"/>
    <w:rsid w:val="00072067"/>
    <w:rsid w:val="000736DE"/>
    <w:rsid w:val="0007405E"/>
    <w:rsid w:val="00076A23"/>
    <w:rsid w:val="0007712E"/>
    <w:rsid w:val="00080B21"/>
    <w:rsid w:val="00081C7F"/>
    <w:rsid w:val="0008767E"/>
    <w:rsid w:val="00093524"/>
    <w:rsid w:val="00095378"/>
    <w:rsid w:val="000973B0"/>
    <w:rsid w:val="000A1817"/>
    <w:rsid w:val="000A576C"/>
    <w:rsid w:val="000A70A6"/>
    <w:rsid w:val="000A7D83"/>
    <w:rsid w:val="000B5944"/>
    <w:rsid w:val="000B6374"/>
    <w:rsid w:val="000B79EB"/>
    <w:rsid w:val="000C0271"/>
    <w:rsid w:val="000C26DC"/>
    <w:rsid w:val="000C4ABC"/>
    <w:rsid w:val="000C52B2"/>
    <w:rsid w:val="000C5BEF"/>
    <w:rsid w:val="000D0A42"/>
    <w:rsid w:val="000D2F11"/>
    <w:rsid w:val="000D6CCA"/>
    <w:rsid w:val="000E0866"/>
    <w:rsid w:val="000E095C"/>
    <w:rsid w:val="000F0361"/>
    <w:rsid w:val="000F19B1"/>
    <w:rsid w:val="000F414C"/>
    <w:rsid w:val="000F67C8"/>
    <w:rsid w:val="00101314"/>
    <w:rsid w:val="00101820"/>
    <w:rsid w:val="00102BA0"/>
    <w:rsid w:val="001105C3"/>
    <w:rsid w:val="00110ED2"/>
    <w:rsid w:val="0011325F"/>
    <w:rsid w:val="0011441F"/>
    <w:rsid w:val="00114627"/>
    <w:rsid w:val="0012034B"/>
    <w:rsid w:val="00121DC5"/>
    <w:rsid w:val="00123537"/>
    <w:rsid w:val="001247CA"/>
    <w:rsid w:val="00124CA1"/>
    <w:rsid w:val="00127547"/>
    <w:rsid w:val="0013649C"/>
    <w:rsid w:val="00136B7F"/>
    <w:rsid w:val="0013725B"/>
    <w:rsid w:val="00137ABB"/>
    <w:rsid w:val="0014045C"/>
    <w:rsid w:val="00140D48"/>
    <w:rsid w:val="00144F88"/>
    <w:rsid w:val="00146EEF"/>
    <w:rsid w:val="00155222"/>
    <w:rsid w:val="001553E9"/>
    <w:rsid w:val="001710EC"/>
    <w:rsid w:val="001719D7"/>
    <w:rsid w:val="001723ED"/>
    <w:rsid w:val="00172D60"/>
    <w:rsid w:val="00174474"/>
    <w:rsid w:val="001764D4"/>
    <w:rsid w:val="00177D3E"/>
    <w:rsid w:val="00177F40"/>
    <w:rsid w:val="00180A47"/>
    <w:rsid w:val="0018116B"/>
    <w:rsid w:val="0018272C"/>
    <w:rsid w:val="001849A5"/>
    <w:rsid w:val="00186B2A"/>
    <w:rsid w:val="00190B13"/>
    <w:rsid w:val="001970B5"/>
    <w:rsid w:val="001977CE"/>
    <w:rsid w:val="001A3F98"/>
    <w:rsid w:val="001A5034"/>
    <w:rsid w:val="001A599A"/>
    <w:rsid w:val="001A6674"/>
    <w:rsid w:val="001A69EA"/>
    <w:rsid w:val="001B3647"/>
    <w:rsid w:val="001C332C"/>
    <w:rsid w:val="001C4050"/>
    <w:rsid w:val="001C56B7"/>
    <w:rsid w:val="001C733E"/>
    <w:rsid w:val="001D3DE5"/>
    <w:rsid w:val="001E29E6"/>
    <w:rsid w:val="001E2B92"/>
    <w:rsid w:val="001E414D"/>
    <w:rsid w:val="001E4CAB"/>
    <w:rsid w:val="001E62DB"/>
    <w:rsid w:val="001E66E9"/>
    <w:rsid w:val="001E7323"/>
    <w:rsid w:val="001F122A"/>
    <w:rsid w:val="001F2267"/>
    <w:rsid w:val="001F2D30"/>
    <w:rsid w:val="001F4304"/>
    <w:rsid w:val="001F4C43"/>
    <w:rsid w:val="001F58E9"/>
    <w:rsid w:val="001F5DA2"/>
    <w:rsid w:val="001F64A8"/>
    <w:rsid w:val="001F67E6"/>
    <w:rsid w:val="00201948"/>
    <w:rsid w:val="00204246"/>
    <w:rsid w:val="002063AE"/>
    <w:rsid w:val="00206454"/>
    <w:rsid w:val="00206D82"/>
    <w:rsid w:val="0020719F"/>
    <w:rsid w:val="002078C4"/>
    <w:rsid w:val="00210B30"/>
    <w:rsid w:val="002117B2"/>
    <w:rsid w:val="0021217E"/>
    <w:rsid w:val="0021221A"/>
    <w:rsid w:val="00212D43"/>
    <w:rsid w:val="0021477B"/>
    <w:rsid w:val="00216EAF"/>
    <w:rsid w:val="00224BE5"/>
    <w:rsid w:val="002256E1"/>
    <w:rsid w:val="002276E5"/>
    <w:rsid w:val="00230399"/>
    <w:rsid w:val="0023073F"/>
    <w:rsid w:val="00241DBC"/>
    <w:rsid w:val="002422D4"/>
    <w:rsid w:val="00243EA9"/>
    <w:rsid w:val="00243F76"/>
    <w:rsid w:val="002442B5"/>
    <w:rsid w:val="00244C52"/>
    <w:rsid w:val="002470C1"/>
    <w:rsid w:val="002502DE"/>
    <w:rsid w:val="00250BB5"/>
    <w:rsid w:val="002537C6"/>
    <w:rsid w:val="00256024"/>
    <w:rsid w:val="002563A5"/>
    <w:rsid w:val="00257AF2"/>
    <w:rsid w:val="002679B7"/>
    <w:rsid w:val="00271055"/>
    <w:rsid w:val="00272200"/>
    <w:rsid w:val="00274205"/>
    <w:rsid w:val="002750E2"/>
    <w:rsid w:val="00275C54"/>
    <w:rsid w:val="002859A8"/>
    <w:rsid w:val="00287BF8"/>
    <w:rsid w:val="00291847"/>
    <w:rsid w:val="00292E5A"/>
    <w:rsid w:val="0029576C"/>
    <w:rsid w:val="00295DFE"/>
    <w:rsid w:val="002A02FA"/>
    <w:rsid w:val="002A2E18"/>
    <w:rsid w:val="002A2E28"/>
    <w:rsid w:val="002A314F"/>
    <w:rsid w:val="002A43A2"/>
    <w:rsid w:val="002A6D7C"/>
    <w:rsid w:val="002A7E10"/>
    <w:rsid w:val="002B094D"/>
    <w:rsid w:val="002B2095"/>
    <w:rsid w:val="002B2B14"/>
    <w:rsid w:val="002B3537"/>
    <w:rsid w:val="002B3556"/>
    <w:rsid w:val="002B3A0C"/>
    <w:rsid w:val="002C0A28"/>
    <w:rsid w:val="002D1924"/>
    <w:rsid w:val="002E24CA"/>
    <w:rsid w:val="002E512F"/>
    <w:rsid w:val="002E541D"/>
    <w:rsid w:val="002E59F9"/>
    <w:rsid w:val="002E5FAA"/>
    <w:rsid w:val="002E67AB"/>
    <w:rsid w:val="002F08E9"/>
    <w:rsid w:val="002F5A30"/>
    <w:rsid w:val="00300646"/>
    <w:rsid w:val="00303AF8"/>
    <w:rsid w:val="00305554"/>
    <w:rsid w:val="00305599"/>
    <w:rsid w:val="00306158"/>
    <w:rsid w:val="0030617C"/>
    <w:rsid w:val="00307BA7"/>
    <w:rsid w:val="00312EA5"/>
    <w:rsid w:val="00312F4B"/>
    <w:rsid w:val="003175EE"/>
    <w:rsid w:val="003178CB"/>
    <w:rsid w:val="00317C92"/>
    <w:rsid w:val="00320D7E"/>
    <w:rsid w:val="00324836"/>
    <w:rsid w:val="003300F7"/>
    <w:rsid w:val="0033075E"/>
    <w:rsid w:val="00334D36"/>
    <w:rsid w:val="003367A1"/>
    <w:rsid w:val="00340633"/>
    <w:rsid w:val="00342B1D"/>
    <w:rsid w:val="00351410"/>
    <w:rsid w:val="003539A0"/>
    <w:rsid w:val="00356ABA"/>
    <w:rsid w:val="00361392"/>
    <w:rsid w:val="00362FF7"/>
    <w:rsid w:val="00363199"/>
    <w:rsid w:val="003641D5"/>
    <w:rsid w:val="003641FA"/>
    <w:rsid w:val="003653E0"/>
    <w:rsid w:val="00367A37"/>
    <w:rsid w:val="0037036C"/>
    <w:rsid w:val="0037074B"/>
    <w:rsid w:val="00371671"/>
    <w:rsid w:val="00372308"/>
    <w:rsid w:val="00372761"/>
    <w:rsid w:val="003771BF"/>
    <w:rsid w:val="0038277C"/>
    <w:rsid w:val="0038470B"/>
    <w:rsid w:val="003916A8"/>
    <w:rsid w:val="00391FCA"/>
    <w:rsid w:val="00392B54"/>
    <w:rsid w:val="0039444F"/>
    <w:rsid w:val="003947D7"/>
    <w:rsid w:val="00395845"/>
    <w:rsid w:val="003A0972"/>
    <w:rsid w:val="003A1C2C"/>
    <w:rsid w:val="003A3844"/>
    <w:rsid w:val="003A39EA"/>
    <w:rsid w:val="003A4FE8"/>
    <w:rsid w:val="003A713D"/>
    <w:rsid w:val="003A72C6"/>
    <w:rsid w:val="003B0A28"/>
    <w:rsid w:val="003B146F"/>
    <w:rsid w:val="003B20A0"/>
    <w:rsid w:val="003B3F4E"/>
    <w:rsid w:val="003B5428"/>
    <w:rsid w:val="003B5FA9"/>
    <w:rsid w:val="003C4B25"/>
    <w:rsid w:val="003C4E58"/>
    <w:rsid w:val="003C4FF6"/>
    <w:rsid w:val="003D0BC7"/>
    <w:rsid w:val="003D1D47"/>
    <w:rsid w:val="003D33AE"/>
    <w:rsid w:val="003D4693"/>
    <w:rsid w:val="003D4D4C"/>
    <w:rsid w:val="003D66FE"/>
    <w:rsid w:val="003D7EB7"/>
    <w:rsid w:val="003E033C"/>
    <w:rsid w:val="003E036F"/>
    <w:rsid w:val="003E41CA"/>
    <w:rsid w:val="003E6B70"/>
    <w:rsid w:val="003F0B20"/>
    <w:rsid w:val="003F18FA"/>
    <w:rsid w:val="003F1E33"/>
    <w:rsid w:val="003F409A"/>
    <w:rsid w:val="003F61EE"/>
    <w:rsid w:val="003F6FD9"/>
    <w:rsid w:val="003F7555"/>
    <w:rsid w:val="003F78F7"/>
    <w:rsid w:val="004035B5"/>
    <w:rsid w:val="00406687"/>
    <w:rsid w:val="0041395A"/>
    <w:rsid w:val="00415EBE"/>
    <w:rsid w:val="004176DA"/>
    <w:rsid w:val="00417817"/>
    <w:rsid w:val="0042229F"/>
    <w:rsid w:val="00426E63"/>
    <w:rsid w:val="00430F14"/>
    <w:rsid w:val="004314E0"/>
    <w:rsid w:val="00432983"/>
    <w:rsid w:val="00434697"/>
    <w:rsid w:val="00435FB0"/>
    <w:rsid w:val="00437A19"/>
    <w:rsid w:val="00441379"/>
    <w:rsid w:val="0044394B"/>
    <w:rsid w:val="00446FA2"/>
    <w:rsid w:val="00447FC1"/>
    <w:rsid w:val="00453ED0"/>
    <w:rsid w:val="004541EF"/>
    <w:rsid w:val="00455B06"/>
    <w:rsid w:val="004569AB"/>
    <w:rsid w:val="0045767C"/>
    <w:rsid w:val="00467DF3"/>
    <w:rsid w:val="00470758"/>
    <w:rsid w:val="00471239"/>
    <w:rsid w:val="00471C77"/>
    <w:rsid w:val="0047290D"/>
    <w:rsid w:val="0047297E"/>
    <w:rsid w:val="00475553"/>
    <w:rsid w:val="00476468"/>
    <w:rsid w:val="00481900"/>
    <w:rsid w:val="004830EA"/>
    <w:rsid w:val="00483975"/>
    <w:rsid w:val="00483A41"/>
    <w:rsid w:val="0048506E"/>
    <w:rsid w:val="00491D41"/>
    <w:rsid w:val="004925D6"/>
    <w:rsid w:val="00492A2E"/>
    <w:rsid w:val="004933B4"/>
    <w:rsid w:val="00493C59"/>
    <w:rsid w:val="00495916"/>
    <w:rsid w:val="00495AEB"/>
    <w:rsid w:val="00495B10"/>
    <w:rsid w:val="00495FD0"/>
    <w:rsid w:val="00496C95"/>
    <w:rsid w:val="004A02DA"/>
    <w:rsid w:val="004A72EB"/>
    <w:rsid w:val="004A7660"/>
    <w:rsid w:val="004B02B0"/>
    <w:rsid w:val="004B2AF8"/>
    <w:rsid w:val="004C044C"/>
    <w:rsid w:val="004C0472"/>
    <w:rsid w:val="004C4E9B"/>
    <w:rsid w:val="004C5C45"/>
    <w:rsid w:val="004C5EC0"/>
    <w:rsid w:val="004C778E"/>
    <w:rsid w:val="004D4D2D"/>
    <w:rsid w:val="004D4E20"/>
    <w:rsid w:val="004D5217"/>
    <w:rsid w:val="004D562C"/>
    <w:rsid w:val="004E1D4B"/>
    <w:rsid w:val="004E1FC8"/>
    <w:rsid w:val="004E2CA9"/>
    <w:rsid w:val="004E2D8D"/>
    <w:rsid w:val="004E756A"/>
    <w:rsid w:val="004F067D"/>
    <w:rsid w:val="004F1037"/>
    <w:rsid w:val="004F231B"/>
    <w:rsid w:val="004F4200"/>
    <w:rsid w:val="005031FF"/>
    <w:rsid w:val="00504C17"/>
    <w:rsid w:val="00506300"/>
    <w:rsid w:val="00510C6A"/>
    <w:rsid w:val="00511EAE"/>
    <w:rsid w:val="0051248C"/>
    <w:rsid w:val="005140D3"/>
    <w:rsid w:val="00520682"/>
    <w:rsid w:val="005236FB"/>
    <w:rsid w:val="00530D0E"/>
    <w:rsid w:val="00535A0D"/>
    <w:rsid w:val="005362C6"/>
    <w:rsid w:val="00542490"/>
    <w:rsid w:val="00542A10"/>
    <w:rsid w:val="00542D17"/>
    <w:rsid w:val="00544470"/>
    <w:rsid w:val="0054570B"/>
    <w:rsid w:val="00546901"/>
    <w:rsid w:val="00563734"/>
    <w:rsid w:val="005709E1"/>
    <w:rsid w:val="0057243F"/>
    <w:rsid w:val="00572AA0"/>
    <w:rsid w:val="005737FB"/>
    <w:rsid w:val="005739D7"/>
    <w:rsid w:val="00576306"/>
    <w:rsid w:val="00576627"/>
    <w:rsid w:val="00584811"/>
    <w:rsid w:val="00585A1E"/>
    <w:rsid w:val="0058786F"/>
    <w:rsid w:val="00587F92"/>
    <w:rsid w:val="005917AD"/>
    <w:rsid w:val="005936B3"/>
    <w:rsid w:val="005A30AF"/>
    <w:rsid w:val="005A3180"/>
    <w:rsid w:val="005A537A"/>
    <w:rsid w:val="005B0E5C"/>
    <w:rsid w:val="005B2AFA"/>
    <w:rsid w:val="005B2CF9"/>
    <w:rsid w:val="005B3C97"/>
    <w:rsid w:val="005B41D8"/>
    <w:rsid w:val="005B7874"/>
    <w:rsid w:val="005C1F07"/>
    <w:rsid w:val="005C228E"/>
    <w:rsid w:val="005C3836"/>
    <w:rsid w:val="005C4379"/>
    <w:rsid w:val="005C69BA"/>
    <w:rsid w:val="005D060B"/>
    <w:rsid w:val="005D47EF"/>
    <w:rsid w:val="005D7735"/>
    <w:rsid w:val="005E063E"/>
    <w:rsid w:val="005E3005"/>
    <w:rsid w:val="005E6AC5"/>
    <w:rsid w:val="005F05FC"/>
    <w:rsid w:val="005F0715"/>
    <w:rsid w:val="005F2194"/>
    <w:rsid w:val="005F3477"/>
    <w:rsid w:val="005F6070"/>
    <w:rsid w:val="005F6F26"/>
    <w:rsid w:val="005F7955"/>
    <w:rsid w:val="00601469"/>
    <w:rsid w:val="006018BA"/>
    <w:rsid w:val="00603CB9"/>
    <w:rsid w:val="00604D51"/>
    <w:rsid w:val="006075C7"/>
    <w:rsid w:val="006102C8"/>
    <w:rsid w:val="00610486"/>
    <w:rsid w:val="0061158F"/>
    <w:rsid w:val="006124A7"/>
    <w:rsid w:val="00613408"/>
    <w:rsid w:val="00616284"/>
    <w:rsid w:val="006167C9"/>
    <w:rsid w:val="00617715"/>
    <w:rsid w:val="006200FE"/>
    <w:rsid w:val="006273D1"/>
    <w:rsid w:val="0063378A"/>
    <w:rsid w:val="00635C20"/>
    <w:rsid w:val="0063784C"/>
    <w:rsid w:val="006406E5"/>
    <w:rsid w:val="0065196E"/>
    <w:rsid w:val="00652335"/>
    <w:rsid w:val="00655C04"/>
    <w:rsid w:val="00656E7A"/>
    <w:rsid w:val="00660746"/>
    <w:rsid w:val="00667346"/>
    <w:rsid w:val="00670953"/>
    <w:rsid w:val="006733C3"/>
    <w:rsid w:val="00685595"/>
    <w:rsid w:val="0068768F"/>
    <w:rsid w:val="00687BA8"/>
    <w:rsid w:val="006913C3"/>
    <w:rsid w:val="006942D8"/>
    <w:rsid w:val="006951EC"/>
    <w:rsid w:val="00697FB0"/>
    <w:rsid w:val="006A2E8B"/>
    <w:rsid w:val="006A4812"/>
    <w:rsid w:val="006A556C"/>
    <w:rsid w:val="006A7DFE"/>
    <w:rsid w:val="006B0A3F"/>
    <w:rsid w:val="006B0A8E"/>
    <w:rsid w:val="006B0B91"/>
    <w:rsid w:val="006B0D46"/>
    <w:rsid w:val="006B2260"/>
    <w:rsid w:val="006B2FBF"/>
    <w:rsid w:val="006B6804"/>
    <w:rsid w:val="006C1620"/>
    <w:rsid w:val="006C16D4"/>
    <w:rsid w:val="006C1C67"/>
    <w:rsid w:val="006C1D3F"/>
    <w:rsid w:val="006C5C09"/>
    <w:rsid w:val="006C7456"/>
    <w:rsid w:val="006D270F"/>
    <w:rsid w:val="006D4F49"/>
    <w:rsid w:val="006E1721"/>
    <w:rsid w:val="006E463B"/>
    <w:rsid w:val="006E5A6C"/>
    <w:rsid w:val="006E72F8"/>
    <w:rsid w:val="006E7843"/>
    <w:rsid w:val="006F21DC"/>
    <w:rsid w:val="006F3DE7"/>
    <w:rsid w:val="006F69FD"/>
    <w:rsid w:val="00701635"/>
    <w:rsid w:val="00707D5A"/>
    <w:rsid w:val="00707D64"/>
    <w:rsid w:val="007101F1"/>
    <w:rsid w:val="00710C4F"/>
    <w:rsid w:val="00712662"/>
    <w:rsid w:val="007127D0"/>
    <w:rsid w:val="007171EE"/>
    <w:rsid w:val="00726CEE"/>
    <w:rsid w:val="007273D7"/>
    <w:rsid w:val="00732F4B"/>
    <w:rsid w:val="00752435"/>
    <w:rsid w:val="00756737"/>
    <w:rsid w:val="00760A6C"/>
    <w:rsid w:val="00761536"/>
    <w:rsid w:val="0076481E"/>
    <w:rsid w:val="00765943"/>
    <w:rsid w:val="0076686C"/>
    <w:rsid w:val="00770773"/>
    <w:rsid w:val="00774955"/>
    <w:rsid w:val="00776898"/>
    <w:rsid w:val="00780422"/>
    <w:rsid w:val="0078197D"/>
    <w:rsid w:val="00786AC0"/>
    <w:rsid w:val="00786BA0"/>
    <w:rsid w:val="00791E5E"/>
    <w:rsid w:val="00793373"/>
    <w:rsid w:val="007944DE"/>
    <w:rsid w:val="00794535"/>
    <w:rsid w:val="007A00EF"/>
    <w:rsid w:val="007A24CD"/>
    <w:rsid w:val="007A28F0"/>
    <w:rsid w:val="007A4594"/>
    <w:rsid w:val="007B08D3"/>
    <w:rsid w:val="007B211D"/>
    <w:rsid w:val="007B2180"/>
    <w:rsid w:val="007B5482"/>
    <w:rsid w:val="007B5628"/>
    <w:rsid w:val="007B5984"/>
    <w:rsid w:val="007B6025"/>
    <w:rsid w:val="007B60E9"/>
    <w:rsid w:val="007B6C47"/>
    <w:rsid w:val="007B79BB"/>
    <w:rsid w:val="007B7FEE"/>
    <w:rsid w:val="007C0A5F"/>
    <w:rsid w:val="007C0B7F"/>
    <w:rsid w:val="007C1E75"/>
    <w:rsid w:val="007D56DA"/>
    <w:rsid w:val="007D5850"/>
    <w:rsid w:val="007E5D9D"/>
    <w:rsid w:val="007E5F7E"/>
    <w:rsid w:val="007E6B95"/>
    <w:rsid w:val="007F28DE"/>
    <w:rsid w:val="007F3D7B"/>
    <w:rsid w:val="007F4E77"/>
    <w:rsid w:val="007F67B6"/>
    <w:rsid w:val="00800F2F"/>
    <w:rsid w:val="00804B58"/>
    <w:rsid w:val="00810A1F"/>
    <w:rsid w:val="008140DF"/>
    <w:rsid w:val="00814ACC"/>
    <w:rsid w:val="00815A08"/>
    <w:rsid w:val="00815A5D"/>
    <w:rsid w:val="00816A2F"/>
    <w:rsid w:val="00820391"/>
    <w:rsid w:val="00820EE5"/>
    <w:rsid w:val="00824435"/>
    <w:rsid w:val="00826324"/>
    <w:rsid w:val="00830BFB"/>
    <w:rsid w:val="00832670"/>
    <w:rsid w:val="00834149"/>
    <w:rsid w:val="008365C6"/>
    <w:rsid w:val="008379B0"/>
    <w:rsid w:val="00841975"/>
    <w:rsid w:val="00845175"/>
    <w:rsid w:val="00846216"/>
    <w:rsid w:val="00852E3F"/>
    <w:rsid w:val="00857A97"/>
    <w:rsid w:val="00862F20"/>
    <w:rsid w:val="00863E76"/>
    <w:rsid w:val="00872247"/>
    <w:rsid w:val="00874A03"/>
    <w:rsid w:val="008756B6"/>
    <w:rsid w:val="00877761"/>
    <w:rsid w:val="008778BD"/>
    <w:rsid w:val="00877E9F"/>
    <w:rsid w:val="00884017"/>
    <w:rsid w:val="008853B7"/>
    <w:rsid w:val="008906A7"/>
    <w:rsid w:val="00892E68"/>
    <w:rsid w:val="008945B5"/>
    <w:rsid w:val="008A5AB3"/>
    <w:rsid w:val="008A7002"/>
    <w:rsid w:val="008B222F"/>
    <w:rsid w:val="008B685F"/>
    <w:rsid w:val="008C5911"/>
    <w:rsid w:val="008C64C0"/>
    <w:rsid w:val="008D3488"/>
    <w:rsid w:val="008E3A26"/>
    <w:rsid w:val="008E45B8"/>
    <w:rsid w:val="008F2045"/>
    <w:rsid w:val="008F375E"/>
    <w:rsid w:val="008F3BF2"/>
    <w:rsid w:val="008F6E30"/>
    <w:rsid w:val="0090395E"/>
    <w:rsid w:val="0090547E"/>
    <w:rsid w:val="00905AFD"/>
    <w:rsid w:val="009074F6"/>
    <w:rsid w:val="009103ED"/>
    <w:rsid w:val="009134A7"/>
    <w:rsid w:val="00914895"/>
    <w:rsid w:val="00922224"/>
    <w:rsid w:val="00924A0C"/>
    <w:rsid w:val="00926368"/>
    <w:rsid w:val="00927558"/>
    <w:rsid w:val="009352F7"/>
    <w:rsid w:val="00936F2F"/>
    <w:rsid w:val="0094026E"/>
    <w:rsid w:val="00941FD4"/>
    <w:rsid w:val="00942C74"/>
    <w:rsid w:val="00943C46"/>
    <w:rsid w:val="00945B0C"/>
    <w:rsid w:val="00946D46"/>
    <w:rsid w:val="00954401"/>
    <w:rsid w:val="00955354"/>
    <w:rsid w:val="00955FF2"/>
    <w:rsid w:val="00960D6E"/>
    <w:rsid w:val="00962353"/>
    <w:rsid w:val="00962711"/>
    <w:rsid w:val="00963170"/>
    <w:rsid w:val="00965EA7"/>
    <w:rsid w:val="00972F8A"/>
    <w:rsid w:val="00974F0D"/>
    <w:rsid w:val="009801A9"/>
    <w:rsid w:val="00982919"/>
    <w:rsid w:val="00983863"/>
    <w:rsid w:val="00983A55"/>
    <w:rsid w:val="009856F2"/>
    <w:rsid w:val="009862BD"/>
    <w:rsid w:val="00986FB0"/>
    <w:rsid w:val="0099295A"/>
    <w:rsid w:val="009A264D"/>
    <w:rsid w:val="009A306E"/>
    <w:rsid w:val="009A3CD4"/>
    <w:rsid w:val="009A532C"/>
    <w:rsid w:val="009A738C"/>
    <w:rsid w:val="009A7507"/>
    <w:rsid w:val="009B1398"/>
    <w:rsid w:val="009B1B76"/>
    <w:rsid w:val="009B30E2"/>
    <w:rsid w:val="009C281E"/>
    <w:rsid w:val="009C4989"/>
    <w:rsid w:val="009C6932"/>
    <w:rsid w:val="009C71BF"/>
    <w:rsid w:val="009D062A"/>
    <w:rsid w:val="009D157A"/>
    <w:rsid w:val="009D267F"/>
    <w:rsid w:val="009D3F44"/>
    <w:rsid w:val="009D48D2"/>
    <w:rsid w:val="009D7C35"/>
    <w:rsid w:val="009E14C1"/>
    <w:rsid w:val="009E3CE4"/>
    <w:rsid w:val="009E5A97"/>
    <w:rsid w:val="009E7346"/>
    <w:rsid w:val="009F0906"/>
    <w:rsid w:val="009F38FF"/>
    <w:rsid w:val="009F4EF4"/>
    <w:rsid w:val="009F5E95"/>
    <w:rsid w:val="009F6D86"/>
    <w:rsid w:val="00A01F52"/>
    <w:rsid w:val="00A023E0"/>
    <w:rsid w:val="00A054EA"/>
    <w:rsid w:val="00A13B44"/>
    <w:rsid w:val="00A13C00"/>
    <w:rsid w:val="00A155E0"/>
    <w:rsid w:val="00A16D06"/>
    <w:rsid w:val="00A202B1"/>
    <w:rsid w:val="00A207F0"/>
    <w:rsid w:val="00A214EF"/>
    <w:rsid w:val="00A27936"/>
    <w:rsid w:val="00A3050E"/>
    <w:rsid w:val="00A30F01"/>
    <w:rsid w:val="00A323ED"/>
    <w:rsid w:val="00A331B0"/>
    <w:rsid w:val="00A352EE"/>
    <w:rsid w:val="00A36377"/>
    <w:rsid w:val="00A371FE"/>
    <w:rsid w:val="00A41247"/>
    <w:rsid w:val="00A41822"/>
    <w:rsid w:val="00A4522D"/>
    <w:rsid w:val="00A46AA0"/>
    <w:rsid w:val="00A47DE1"/>
    <w:rsid w:val="00A56465"/>
    <w:rsid w:val="00A5756E"/>
    <w:rsid w:val="00A60D2B"/>
    <w:rsid w:val="00A650A3"/>
    <w:rsid w:val="00A67656"/>
    <w:rsid w:val="00A726DD"/>
    <w:rsid w:val="00A73514"/>
    <w:rsid w:val="00A750AB"/>
    <w:rsid w:val="00A7708E"/>
    <w:rsid w:val="00A86778"/>
    <w:rsid w:val="00A91988"/>
    <w:rsid w:val="00A95858"/>
    <w:rsid w:val="00A960BD"/>
    <w:rsid w:val="00A978BD"/>
    <w:rsid w:val="00AA05A5"/>
    <w:rsid w:val="00AA79B7"/>
    <w:rsid w:val="00AB0151"/>
    <w:rsid w:val="00AB281D"/>
    <w:rsid w:val="00AB5F00"/>
    <w:rsid w:val="00AC166D"/>
    <w:rsid w:val="00AC597C"/>
    <w:rsid w:val="00AC59AF"/>
    <w:rsid w:val="00AE1389"/>
    <w:rsid w:val="00AE140F"/>
    <w:rsid w:val="00AE37C4"/>
    <w:rsid w:val="00AE4156"/>
    <w:rsid w:val="00AE4A81"/>
    <w:rsid w:val="00AE76F8"/>
    <w:rsid w:val="00AF4BBA"/>
    <w:rsid w:val="00B02015"/>
    <w:rsid w:val="00B04973"/>
    <w:rsid w:val="00B12037"/>
    <w:rsid w:val="00B1315D"/>
    <w:rsid w:val="00B21DDF"/>
    <w:rsid w:val="00B22735"/>
    <w:rsid w:val="00B240C0"/>
    <w:rsid w:val="00B303DE"/>
    <w:rsid w:val="00B34B14"/>
    <w:rsid w:val="00B3657B"/>
    <w:rsid w:val="00B406ED"/>
    <w:rsid w:val="00B412C9"/>
    <w:rsid w:val="00B50A69"/>
    <w:rsid w:val="00B50CAC"/>
    <w:rsid w:val="00B50ED9"/>
    <w:rsid w:val="00B5101A"/>
    <w:rsid w:val="00B55C75"/>
    <w:rsid w:val="00B57C7E"/>
    <w:rsid w:val="00B6122A"/>
    <w:rsid w:val="00B61D8A"/>
    <w:rsid w:val="00B651F2"/>
    <w:rsid w:val="00B70FF1"/>
    <w:rsid w:val="00B714FE"/>
    <w:rsid w:val="00B7320B"/>
    <w:rsid w:val="00B73800"/>
    <w:rsid w:val="00B74167"/>
    <w:rsid w:val="00B75502"/>
    <w:rsid w:val="00B76A91"/>
    <w:rsid w:val="00B80BD6"/>
    <w:rsid w:val="00B84706"/>
    <w:rsid w:val="00B8596C"/>
    <w:rsid w:val="00B86A42"/>
    <w:rsid w:val="00B939D8"/>
    <w:rsid w:val="00B94ADA"/>
    <w:rsid w:val="00B94F44"/>
    <w:rsid w:val="00B96F99"/>
    <w:rsid w:val="00B97585"/>
    <w:rsid w:val="00BA10D7"/>
    <w:rsid w:val="00BC1D24"/>
    <w:rsid w:val="00BC3261"/>
    <w:rsid w:val="00BC4AB5"/>
    <w:rsid w:val="00BC5027"/>
    <w:rsid w:val="00BC6488"/>
    <w:rsid w:val="00BC66E0"/>
    <w:rsid w:val="00BD082F"/>
    <w:rsid w:val="00BD23B9"/>
    <w:rsid w:val="00BD351B"/>
    <w:rsid w:val="00BD3892"/>
    <w:rsid w:val="00BD49BF"/>
    <w:rsid w:val="00BE0941"/>
    <w:rsid w:val="00BE3B9F"/>
    <w:rsid w:val="00BE5EC5"/>
    <w:rsid w:val="00BE6365"/>
    <w:rsid w:val="00BF244E"/>
    <w:rsid w:val="00BF314F"/>
    <w:rsid w:val="00BF4538"/>
    <w:rsid w:val="00BF70AD"/>
    <w:rsid w:val="00C018D2"/>
    <w:rsid w:val="00C01D42"/>
    <w:rsid w:val="00C038B6"/>
    <w:rsid w:val="00C03EED"/>
    <w:rsid w:val="00C10978"/>
    <w:rsid w:val="00C12C24"/>
    <w:rsid w:val="00C14545"/>
    <w:rsid w:val="00C201D8"/>
    <w:rsid w:val="00C21040"/>
    <w:rsid w:val="00C21C15"/>
    <w:rsid w:val="00C2254F"/>
    <w:rsid w:val="00C22DA6"/>
    <w:rsid w:val="00C23079"/>
    <w:rsid w:val="00C24744"/>
    <w:rsid w:val="00C247FB"/>
    <w:rsid w:val="00C24A02"/>
    <w:rsid w:val="00C24B4A"/>
    <w:rsid w:val="00C2588A"/>
    <w:rsid w:val="00C3029B"/>
    <w:rsid w:val="00C3671E"/>
    <w:rsid w:val="00C36CC3"/>
    <w:rsid w:val="00C44042"/>
    <w:rsid w:val="00C449A8"/>
    <w:rsid w:val="00C4726A"/>
    <w:rsid w:val="00C47948"/>
    <w:rsid w:val="00C5099B"/>
    <w:rsid w:val="00C54C84"/>
    <w:rsid w:val="00C61783"/>
    <w:rsid w:val="00C61F90"/>
    <w:rsid w:val="00C638D4"/>
    <w:rsid w:val="00C63FD4"/>
    <w:rsid w:val="00C640E2"/>
    <w:rsid w:val="00C64BC4"/>
    <w:rsid w:val="00C65259"/>
    <w:rsid w:val="00C658F1"/>
    <w:rsid w:val="00C7208B"/>
    <w:rsid w:val="00C72803"/>
    <w:rsid w:val="00C75671"/>
    <w:rsid w:val="00C76A0E"/>
    <w:rsid w:val="00C77CB0"/>
    <w:rsid w:val="00C80239"/>
    <w:rsid w:val="00C8428C"/>
    <w:rsid w:val="00C8657A"/>
    <w:rsid w:val="00C868FE"/>
    <w:rsid w:val="00C902FF"/>
    <w:rsid w:val="00C90696"/>
    <w:rsid w:val="00C92196"/>
    <w:rsid w:val="00C93813"/>
    <w:rsid w:val="00C93D28"/>
    <w:rsid w:val="00C94D27"/>
    <w:rsid w:val="00C956A7"/>
    <w:rsid w:val="00CA1F3C"/>
    <w:rsid w:val="00CA271B"/>
    <w:rsid w:val="00CB12E5"/>
    <w:rsid w:val="00CB1B63"/>
    <w:rsid w:val="00CB5472"/>
    <w:rsid w:val="00CB7D32"/>
    <w:rsid w:val="00CC2513"/>
    <w:rsid w:val="00CC7CB7"/>
    <w:rsid w:val="00CD02E8"/>
    <w:rsid w:val="00CD0EC2"/>
    <w:rsid w:val="00CD5A43"/>
    <w:rsid w:val="00CE0E97"/>
    <w:rsid w:val="00CE124D"/>
    <w:rsid w:val="00CE36FD"/>
    <w:rsid w:val="00CE4A88"/>
    <w:rsid w:val="00CE5033"/>
    <w:rsid w:val="00CF54B6"/>
    <w:rsid w:val="00CF5A47"/>
    <w:rsid w:val="00D035AE"/>
    <w:rsid w:val="00D06060"/>
    <w:rsid w:val="00D06EF3"/>
    <w:rsid w:val="00D14E4B"/>
    <w:rsid w:val="00D23362"/>
    <w:rsid w:val="00D23D29"/>
    <w:rsid w:val="00D25D48"/>
    <w:rsid w:val="00D27A85"/>
    <w:rsid w:val="00D31D74"/>
    <w:rsid w:val="00D33D92"/>
    <w:rsid w:val="00D35410"/>
    <w:rsid w:val="00D3581E"/>
    <w:rsid w:val="00D3653D"/>
    <w:rsid w:val="00D40AE9"/>
    <w:rsid w:val="00D41214"/>
    <w:rsid w:val="00D4381D"/>
    <w:rsid w:val="00D43CCD"/>
    <w:rsid w:val="00D512F0"/>
    <w:rsid w:val="00D5722B"/>
    <w:rsid w:val="00D579A4"/>
    <w:rsid w:val="00D61F94"/>
    <w:rsid w:val="00D64612"/>
    <w:rsid w:val="00D66576"/>
    <w:rsid w:val="00D71332"/>
    <w:rsid w:val="00D72058"/>
    <w:rsid w:val="00D739DC"/>
    <w:rsid w:val="00D73F2A"/>
    <w:rsid w:val="00D802F9"/>
    <w:rsid w:val="00D8149D"/>
    <w:rsid w:val="00D8365B"/>
    <w:rsid w:val="00D87246"/>
    <w:rsid w:val="00D8773D"/>
    <w:rsid w:val="00D91CE8"/>
    <w:rsid w:val="00D960AA"/>
    <w:rsid w:val="00D97124"/>
    <w:rsid w:val="00DA0D5E"/>
    <w:rsid w:val="00DA26FC"/>
    <w:rsid w:val="00DA3786"/>
    <w:rsid w:val="00DA707F"/>
    <w:rsid w:val="00DB4C07"/>
    <w:rsid w:val="00DB631E"/>
    <w:rsid w:val="00DB6A4A"/>
    <w:rsid w:val="00DB7318"/>
    <w:rsid w:val="00DB7E29"/>
    <w:rsid w:val="00DC2B1F"/>
    <w:rsid w:val="00DC40D0"/>
    <w:rsid w:val="00DC5D3F"/>
    <w:rsid w:val="00DD355B"/>
    <w:rsid w:val="00DD3EBA"/>
    <w:rsid w:val="00DD77A3"/>
    <w:rsid w:val="00DE016D"/>
    <w:rsid w:val="00DE06F7"/>
    <w:rsid w:val="00DE0795"/>
    <w:rsid w:val="00DE09B2"/>
    <w:rsid w:val="00DE1981"/>
    <w:rsid w:val="00DE36A1"/>
    <w:rsid w:val="00DE7849"/>
    <w:rsid w:val="00DF043C"/>
    <w:rsid w:val="00DF0EE1"/>
    <w:rsid w:val="00DF132E"/>
    <w:rsid w:val="00DF581B"/>
    <w:rsid w:val="00DF5B72"/>
    <w:rsid w:val="00DF6FB2"/>
    <w:rsid w:val="00E02B55"/>
    <w:rsid w:val="00E0377F"/>
    <w:rsid w:val="00E044CB"/>
    <w:rsid w:val="00E10DD9"/>
    <w:rsid w:val="00E121DC"/>
    <w:rsid w:val="00E1539F"/>
    <w:rsid w:val="00E20CAB"/>
    <w:rsid w:val="00E23484"/>
    <w:rsid w:val="00E25196"/>
    <w:rsid w:val="00E257A4"/>
    <w:rsid w:val="00E258DD"/>
    <w:rsid w:val="00E26436"/>
    <w:rsid w:val="00E27987"/>
    <w:rsid w:val="00E3069C"/>
    <w:rsid w:val="00E3250E"/>
    <w:rsid w:val="00E36884"/>
    <w:rsid w:val="00E40FDC"/>
    <w:rsid w:val="00E416C3"/>
    <w:rsid w:val="00E42686"/>
    <w:rsid w:val="00E44455"/>
    <w:rsid w:val="00E44A1F"/>
    <w:rsid w:val="00E50FE7"/>
    <w:rsid w:val="00E52EAB"/>
    <w:rsid w:val="00E547EB"/>
    <w:rsid w:val="00E552EC"/>
    <w:rsid w:val="00E570E1"/>
    <w:rsid w:val="00E57FD9"/>
    <w:rsid w:val="00E60029"/>
    <w:rsid w:val="00E62B13"/>
    <w:rsid w:val="00E62DC6"/>
    <w:rsid w:val="00E63A71"/>
    <w:rsid w:val="00E63B0E"/>
    <w:rsid w:val="00E64237"/>
    <w:rsid w:val="00E67D29"/>
    <w:rsid w:val="00E67D45"/>
    <w:rsid w:val="00E72C7B"/>
    <w:rsid w:val="00E754A9"/>
    <w:rsid w:val="00E8293A"/>
    <w:rsid w:val="00E85E72"/>
    <w:rsid w:val="00E91695"/>
    <w:rsid w:val="00E9219A"/>
    <w:rsid w:val="00E94BF1"/>
    <w:rsid w:val="00E9646F"/>
    <w:rsid w:val="00E96F9A"/>
    <w:rsid w:val="00E97B3A"/>
    <w:rsid w:val="00EA4423"/>
    <w:rsid w:val="00EA5009"/>
    <w:rsid w:val="00EA50BC"/>
    <w:rsid w:val="00EB16BC"/>
    <w:rsid w:val="00EB2CC6"/>
    <w:rsid w:val="00EB4376"/>
    <w:rsid w:val="00EB4C67"/>
    <w:rsid w:val="00EB5DEB"/>
    <w:rsid w:val="00EB686E"/>
    <w:rsid w:val="00EB7F38"/>
    <w:rsid w:val="00EC0470"/>
    <w:rsid w:val="00EC2E1C"/>
    <w:rsid w:val="00EC3FFF"/>
    <w:rsid w:val="00EC440C"/>
    <w:rsid w:val="00EC4A18"/>
    <w:rsid w:val="00EC5C21"/>
    <w:rsid w:val="00ED14DA"/>
    <w:rsid w:val="00ED274E"/>
    <w:rsid w:val="00ED50E3"/>
    <w:rsid w:val="00ED6E29"/>
    <w:rsid w:val="00ED70A4"/>
    <w:rsid w:val="00ED73BC"/>
    <w:rsid w:val="00EE22A5"/>
    <w:rsid w:val="00EE2B96"/>
    <w:rsid w:val="00EE2F42"/>
    <w:rsid w:val="00EE4B0A"/>
    <w:rsid w:val="00EE7C38"/>
    <w:rsid w:val="00EF0972"/>
    <w:rsid w:val="00EF10A8"/>
    <w:rsid w:val="00EF166A"/>
    <w:rsid w:val="00F03D79"/>
    <w:rsid w:val="00F044C0"/>
    <w:rsid w:val="00F0627E"/>
    <w:rsid w:val="00F07300"/>
    <w:rsid w:val="00F10788"/>
    <w:rsid w:val="00F11077"/>
    <w:rsid w:val="00F1197A"/>
    <w:rsid w:val="00F12483"/>
    <w:rsid w:val="00F13215"/>
    <w:rsid w:val="00F13775"/>
    <w:rsid w:val="00F26CD2"/>
    <w:rsid w:val="00F271BD"/>
    <w:rsid w:val="00F27A60"/>
    <w:rsid w:val="00F3278D"/>
    <w:rsid w:val="00F34170"/>
    <w:rsid w:val="00F350C9"/>
    <w:rsid w:val="00F351E2"/>
    <w:rsid w:val="00F42E21"/>
    <w:rsid w:val="00F446B2"/>
    <w:rsid w:val="00F45F77"/>
    <w:rsid w:val="00F479D3"/>
    <w:rsid w:val="00F51E58"/>
    <w:rsid w:val="00F62140"/>
    <w:rsid w:val="00F635D0"/>
    <w:rsid w:val="00F63681"/>
    <w:rsid w:val="00F67A4A"/>
    <w:rsid w:val="00F81875"/>
    <w:rsid w:val="00F81CCC"/>
    <w:rsid w:val="00F821CA"/>
    <w:rsid w:val="00F82681"/>
    <w:rsid w:val="00F8353D"/>
    <w:rsid w:val="00F8644F"/>
    <w:rsid w:val="00F9411B"/>
    <w:rsid w:val="00F94D03"/>
    <w:rsid w:val="00F97CA0"/>
    <w:rsid w:val="00FA0D62"/>
    <w:rsid w:val="00FA6C46"/>
    <w:rsid w:val="00FA7265"/>
    <w:rsid w:val="00FA7794"/>
    <w:rsid w:val="00FB05D5"/>
    <w:rsid w:val="00FB2A37"/>
    <w:rsid w:val="00FB376E"/>
    <w:rsid w:val="00FB3B1F"/>
    <w:rsid w:val="00FB5C65"/>
    <w:rsid w:val="00FB6AD1"/>
    <w:rsid w:val="00FB7960"/>
    <w:rsid w:val="00FC2680"/>
    <w:rsid w:val="00FC6BE4"/>
    <w:rsid w:val="00FD0080"/>
    <w:rsid w:val="00FD01B1"/>
    <w:rsid w:val="00FD59E7"/>
    <w:rsid w:val="00FD7F6A"/>
    <w:rsid w:val="00FE0E05"/>
    <w:rsid w:val="00FE362F"/>
    <w:rsid w:val="00FE3C23"/>
    <w:rsid w:val="00FE6049"/>
    <w:rsid w:val="00FE6871"/>
    <w:rsid w:val="00FE6E47"/>
    <w:rsid w:val="00FF3FC5"/>
    <w:rsid w:val="00FF55F1"/>
    <w:rsid w:val="00FF755E"/>
    <w:rsid w:val="1B08D877"/>
    <w:rsid w:val="2B6A7423"/>
    <w:rsid w:val="2E1702E9"/>
    <w:rsid w:val="32019FE9"/>
    <w:rsid w:val="4BDD1BDB"/>
    <w:rsid w:val="628035B5"/>
    <w:rsid w:val="65A8DA07"/>
    <w:rsid w:val="67D6202A"/>
    <w:rsid w:val="7345D7B0"/>
    <w:rsid w:val="7894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25B4"/>
  <w15:docId w15:val="{7BEC755B-1CDD-4FC4-B1A7-39142A57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autoRedefine/>
    <w:uiPriority w:val="9"/>
    <w:qFormat/>
    <w:rsid w:val="007B60E9"/>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rsid w:val="00FB05D5"/>
    <w:pPr>
      <w:keepNext/>
      <w:keepLines/>
      <w:numPr>
        <w:numId w:val="24"/>
      </w:numPr>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unhideWhenUsed/>
    <w:rsid w:val="00F94D03"/>
    <w:pPr>
      <w:keepNext/>
      <w:keepLines/>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unhideWhenUsed/>
    <w:rsid w:val="003847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rsid w:val="00415E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B60E9"/>
    <w:rPr>
      <w:rFonts w:asciiTheme="majorHAnsi" w:eastAsiaTheme="majorEastAsia" w:hAnsiTheme="majorHAnsi" w:cstheme="majorBidi"/>
      <w:color w:val="2E74B5" w:themeColor="accent1" w:themeShade="BF"/>
      <w:sz w:val="32"/>
      <w:szCs w:val="32"/>
    </w:rPr>
  </w:style>
  <w:style w:type="paragraph" w:styleId="Pavadinimas">
    <w:name w:val="Title"/>
    <w:basedOn w:val="prastasis"/>
    <w:next w:val="prastasis"/>
    <w:link w:val="PavadinimasDiagrama"/>
    <w:uiPriority w:val="10"/>
    <w:qFormat/>
    <w:rsid w:val="007B60E9"/>
    <w:pPr>
      <w:spacing w:after="0" w:line="240" w:lineRule="auto"/>
      <w:contextualSpacing/>
      <w:jc w:val="center"/>
    </w:pPr>
    <w:rPr>
      <w:rFonts w:asciiTheme="majorHAnsi" w:eastAsiaTheme="majorEastAsia" w:hAnsiTheme="majorHAnsi" w:cstheme="majorBidi"/>
      <w:color w:val="40A0A0"/>
      <w:spacing w:val="-10"/>
      <w:kern w:val="28"/>
      <w:sz w:val="56"/>
      <w:szCs w:val="56"/>
    </w:rPr>
  </w:style>
  <w:style w:type="character" w:customStyle="1" w:styleId="PavadinimasDiagrama">
    <w:name w:val="Pavadinimas Diagrama"/>
    <w:basedOn w:val="Numatytasispastraiposriftas"/>
    <w:link w:val="Pavadinimas"/>
    <w:uiPriority w:val="10"/>
    <w:rsid w:val="007B60E9"/>
    <w:rPr>
      <w:rFonts w:asciiTheme="majorHAnsi" w:eastAsiaTheme="majorEastAsia" w:hAnsiTheme="majorHAnsi" w:cstheme="majorBidi"/>
      <w:color w:val="40A0A0"/>
      <w:spacing w:val="-10"/>
      <w:kern w:val="28"/>
      <w:sz w:val="56"/>
      <w:szCs w:val="56"/>
    </w:rPr>
  </w:style>
  <w:style w:type="paragraph" w:styleId="Iskirtacitata">
    <w:name w:val="Intense Quote"/>
    <w:basedOn w:val="prastasis"/>
    <w:next w:val="prastasis"/>
    <w:link w:val="IskirtacitataDiagrama"/>
    <w:uiPriority w:val="30"/>
    <w:qFormat/>
    <w:rsid w:val="00E257A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skirtacitataDiagrama">
    <w:name w:val="Išskirta citata Diagrama"/>
    <w:basedOn w:val="Numatytasispastraiposriftas"/>
    <w:link w:val="Iskirtacitata"/>
    <w:uiPriority w:val="30"/>
    <w:rsid w:val="00E257A4"/>
    <w:rPr>
      <w:i/>
      <w:iCs/>
      <w:color w:val="5B9BD5" w:themeColor="accent1"/>
    </w:rPr>
  </w:style>
  <w:style w:type="paragraph" w:styleId="Paantrat">
    <w:name w:val="Subtitle"/>
    <w:basedOn w:val="prastasis"/>
    <w:next w:val="prastasis"/>
    <w:link w:val="PaantratDiagrama"/>
    <w:uiPriority w:val="11"/>
    <w:qFormat/>
    <w:rsid w:val="00E257A4"/>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E257A4"/>
    <w:rPr>
      <w:rFonts w:eastAsiaTheme="minorEastAsia"/>
      <w:color w:val="5A5A5A" w:themeColor="text1" w:themeTint="A5"/>
      <w:spacing w:val="15"/>
    </w:rPr>
  </w:style>
  <w:style w:type="paragraph" w:styleId="Sraopastraipa">
    <w:name w:val="List Paragraph"/>
    <w:aliases w:val="Num_para"/>
    <w:basedOn w:val="prastasis"/>
    <w:uiPriority w:val="34"/>
    <w:qFormat/>
    <w:rsid w:val="00BE3B9F"/>
    <w:pPr>
      <w:ind w:left="720"/>
      <w:contextualSpacing/>
    </w:pPr>
  </w:style>
  <w:style w:type="paragraph" w:styleId="prastasiniatinklio">
    <w:name w:val="Normal (Web)"/>
    <w:basedOn w:val="prastasis"/>
    <w:uiPriority w:val="99"/>
    <w:semiHidden/>
    <w:unhideWhenUsed/>
    <w:rsid w:val="00BE3B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entelstinklelis">
    <w:name w:val="Table Grid"/>
    <w:basedOn w:val="prastojilentel"/>
    <w:uiPriority w:val="39"/>
    <w:rsid w:val="00BE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3250E"/>
    <w:rPr>
      <w:sz w:val="16"/>
      <w:szCs w:val="16"/>
    </w:rPr>
  </w:style>
  <w:style w:type="paragraph" w:styleId="Komentarotekstas">
    <w:name w:val="annotation text"/>
    <w:basedOn w:val="prastasis"/>
    <w:link w:val="KomentarotekstasDiagrama"/>
    <w:uiPriority w:val="99"/>
    <w:unhideWhenUsed/>
    <w:rsid w:val="00E3250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3250E"/>
    <w:rPr>
      <w:sz w:val="20"/>
      <w:szCs w:val="20"/>
    </w:rPr>
  </w:style>
  <w:style w:type="paragraph" w:styleId="Komentarotema">
    <w:name w:val="annotation subject"/>
    <w:basedOn w:val="Komentarotekstas"/>
    <w:next w:val="Komentarotekstas"/>
    <w:link w:val="KomentarotemaDiagrama"/>
    <w:uiPriority w:val="99"/>
    <w:semiHidden/>
    <w:unhideWhenUsed/>
    <w:rsid w:val="00E3250E"/>
    <w:rPr>
      <w:b/>
      <w:bCs/>
    </w:rPr>
  </w:style>
  <w:style w:type="character" w:customStyle="1" w:styleId="KomentarotemaDiagrama">
    <w:name w:val="Komentaro tema Diagrama"/>
    <w:basedOn w:val="KomentarotekstasDiagrama"/>
    <w:link w:val="Komentarotema"/>
    <w:uiPriority w:val="99"/>
    <w:semiHidden/>
    <w:rsid w:val="00E3250E"/>
    <w:rPr>
      <w:b/>
      <w:bCs/>
      <w:sz w:val="20"/>
      <w:szCs w:val="20"/>
    </w:rPr>
  </w:style>
  <w:style w:type="paragraph" w:styleId="Debesliotekstas">
    <w:name w:val="Balloon Text"/>
    <w:basedOn w:val="prastasis"/>
    <w:link w:val="DebesliotekstasDiagrama"/>
    <w:uiPriority w:val="99"/>
    <w:semiHidden/>
    <w:unhideWhenUsed/>
    <w:rsid w:val="00E3250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3250E"/>
    <w:rPr>
      <w:rFonts w:ascii="Segoe UI" w:hAnsi="Segoe UI" w:cs="Segoe UI"/>
      <w:sz w:val="18"/>
      <w:szCs w:val="18"/>
    </w:rPr>
  </w:style>
  <w:style w:type="paragraph" w:styleId="Antrat">
    <w:name w:val="caption"/>
    <w:basedOn w:val="prastasis"/>
    <w:next w:val="prastasis"/>
    <w:uiPriority w:val="35"/>
    <w:unhideWhenUsed/>
    <w:qFormat/>
    <w:rsid w:val="00DC5D3F"/>
    <w:pPr>
      <w:spacing w:after="200" w:line="240" w:lineRule="auto"/>
    </w:pPr>
    <w:rPr>
      <w:b/>
      <w:i/>
      <w:iCs/>
      <w:color w:val="44546A" w:themeColor="text2"/>
      <w:szCs w:val="18"/>
    </w:rPr>
  </w:style>
  <w:style w:type="paragraph" w:styleId="Antrats">
    <w:name w:val="header"/>
    <w:basedOn w:val="prastasis"/>
    <w:link w:val="AntratsDiagrama"/>
    <w:uiPriority w:val="99"/>
    <w:unhideWhenUsed/>
    <w:rsid w:val="00892E68"/>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92E68"/>
  </w:style>
  <w:style w:type="paragraph" w:styleId="Porat">
    <w:name w:val="footer"/>
    <w:basedOn w:val="prastasis"/>
    <w:link w:val="PoratDiagrama"/>
    <w:uiPriority w:val="99"/>
    <w:unhideWhenUsed/>
    <w:rsid w:val="00892E68"/>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92E68"/>
  </w:style>
  <w:style w:type="paragraph" w:styleId="Turinioantrat">
    <w:name w:val="TOC Heading"/>
    <w:basedOn w:val="Antrat1"/>
    <w:next w:val="prastasis"/>
    <w:link w:val="TurinioantratDiagrama"/>
    <w:uiPriority w:val="39"/>
    <w:unhideWhenUsed/>
    <w:qFormat/>
    <w:rsid w:val="00C3671E"/>
    <w:pPr>
      <w:numPr>
        <w:numId w:val="0"/>
      </w:numPr>
      <w:outlineLvl w:val="9"/>
    </w:pPr>
    <w:rPr>
      <w:lang w:val="en-US"/>
    </w:rPr>
  </w:style>
  <w:style w:type="paragraph" w:styleId="Turinys1">
    <w:name w:val="toc 1"/>
    <w:basedOn w:val="prastasis"/>
    <w:next w:val="prastasis"/>
    <w:autoRedefine/>
    <w:uiPriority w:val="39"/>
    <w:unhideWhenUsed/>
    <w:rsid w:val="00E3069C"/>
    <w:pPr>
      <w:tabs>
        <w:tab w:val="left" w:pos="440"/>
        <w:tab w:val="right" w:leader="dot" w:pos="567"/>
        <w:tab w:val="right" w:leader="dot" w:pos="9182"/>
      </w:tabs>
      <w:spacing w:after="100"/>
    </w:pPr>
  </w:style>
  <w:style w:type="character" w:styleId="Hipersaitas">
    <w:name w:val="Hyperlink"/>
    <w:basedOn w:val="Numatytasispastraiposriftas"/>
    <w:uiPriority w:val="99"/>
    <w:unhideWhenUsed/>
    <w:rsid w:val="00C3671E"/>
    <w:rPr>
      <w:color w:val="0563C1" w:themeColor="hyperlink"/>
      <w:u w:val="single"/>
    </w:rPr>
  </w:style>
  <w:style w:type="paragraph" w:styleId="Iliustracijsraas">
    <w:name w:val="table of figures"/>
    <w:basedOn w:val="Turinys1"/>
    <w:next w:val="prastasis"/>
    <w:uiPriority w:val="99"/>
    <w:unhideWhenUsed/>
    <w:rsid w:val="007F4E77"/>
    <w:rPr>
      <w:noProof/>
    </w:rPr>
  </w:style>
  <w:style w:type="paragraph" w:styleId="Puslapioinaostekstas">
    <w:name w:val="footnote text"/>
    <w:aliases w:val="Footnote"/>
    <w:basedOn w:val="prastasis"/>
    <w:link w:val="PuslapioinaostekstasDiagrama"/>
    <w:uiPriority w:val="99"/>
    <w:unhideWhenUsed/>
    <w:qFormat/>
    <w:rsid w:val="00610486"/>
    <w:pPr>
      <w:spacing w:after="0" w:line="240" w:lineRule="auto"/>
    </w:pPr>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610486"/>
    <w:rPr>
      <w:sz w:val="20"/>
      <w:szCs w:val="20"/>
    </w:rPr>
  </w:style>
  <w:style w:type="character" w:styleId="Puslapioinaosnuoroda">
    <w:name w:val="footnote reference"/>
    <w:aliases w:val="Footnote symbol,number,SUPERS,Footnote Reference Superscript,stylish,BVI fnr,-E Fußnotenzeichen,Source Reference,Footnote reference number,note TESI,Times 10 Point,Exposant 3 Point,Ref,de nota al pie,EN Footnote Reference,ftref"/>
    <w:basedOn w:val="Numatytasispastraiposriftas"/>
    <w:uiPriority w:val="99"/>
    <w:unhideWhenUsed/>
    <w:rsid w:val="00D41214"/>
    <w:rPr>
      <w:vertAlign w:val="superscript"/>
    </w:rPr>
  </w:style>
  <w:style w:type="paragraph" w:styleId="Pataisymai">
    <w:name w:val="Revision"/>
    <w:hidden/>
    <w:uiPriority w:val="99"/>
    <w:semiHidden/>
    <w:rsid w:val="00A41247"/>
    <w:pPr>
      <w:spacing w:after="0" w:line="240" w:lineRule="auto"/>
    </w:pPr>
  </w:style>
  <w:style w:type="character" w:customStyle="1" w:styleId="Antrat2Diagrama">
    <w:name w:val="Antraštė 2 Diagrama"/>
    <w:basedOn w:val="Numatytasispastraiposriftas"/>
    <w:link w:val="Antrat2"/>
    <w:uiPriority w:val="9"/>
    <w:rsid w:val="00FB05D5"/>
    <w:rPr>
      <w:rFonts w:asciiTheme="majorHAnsi" w:eastAsiaTheme="majorEastAsia" w:hAnsiTheme="majorHAnsi" w:cstheme="majorBidi"/>
      <w:b/>
      <w:bCs/>
      <w:color w:val="5B9BD5" w:themeColor="accent1"/>
      <w:sz w:val="26"/>
      <w:szCs w:val="26"/>
    </w:rPr>
  </w:style>
  <w:style w:type="paragraph" w:customStyle="1" w:styleId="StandardNum">
    <w:name w:val="Standard Num"/>
    <w:basedOn w:val="prastasis"/>
    <w:link w:val="StandardNumZchn"/>
    <w:qFormat/>
    <w:rsid w:val="00635C20"/>
    <w:pPr>
      <w:numPr>
        <w:numId w:val="1"/>
      </w:numPr>
      <w:spacing w:before="120" w:after="100" w:line="264" w:lineRule="auto"/>
      <w:ind w:right="284"/>
      <w:jc w:val="both"/>
    </w:pPr>
    <w:rPr>
      <w:rFonts w:ascii="Calibri" w:eastAsia="Times New Roman" w:hAnsi="Calibri" w:cs="Times New Roman"/>
      <w:bCs/>
      <w:lang w:eastAsia="en-GB"/>
    </w:rPr>
  </w:style>
  <w:style w:type="character" w:customStyle="1" w:styleId="Antrat3Diagrama">
    <w:name w:val="Antraštė 3 Diagrama"/>
    <w:basedOn w:val="Numatytasispastraiposriftas"/>
    <w:link w:val="Antrat3"/>
    <w:uiPriority w:val="9"/>
    <w:rsid w:val="00F94D03"/>
    <w:rPr>
      <w:rFonts w:asciiTheme="majorHAnsi" w:eastAsiaTheme="majorEastAsia" w:hAnsiTheme="majorHAnsi" w:cstheme="majorBidi"/>
      <w:b/>
      <w:bCs/>
      <w:color w:val="5B9BD5" w:themeColor="accent1"/>
    </w:rPr>
  </w:style>
  <w:style w:type="paragraph" w:styleId="Turinys2">
    <w:name w:val="toc 2"/>
    <w:basedOn w:val="prastasis"/>
    <w:next w:val="prastasis"/>
    <w:autoRedefine/>
    <w:uiPriority w:val="39"/>
    <w:unhideWhenUsed/>
    <w:rsid w:val="00F94D03"/>
    <w:pPr>
      <w:spacing w:after="100"/>
      <w:ind w:left="220"/>
    </w:pPr>
  </w:style>
  <w:style w:type="paragraph" w:styleId="Turinys3">
    <w:name w:val="toc 3"/>
    <w:basedOn w:val="prastasis"/>
    <w:next w:val="prastasis"/>
    <w:autoRedefine/>
    <w:uiPriority w:val="39"/>
    <w:unhideWhenUsed/>
    <w:rsid w:val="00F94D03"/>
    <w:pPr>
      <w:spacing w:after="100"/>
      <w:ind w:left="440"/>
    </w:pPr>
  </w:style>
  <w:style w:type="character" w:customStyle="1" w:styleId="StandardNumZchn">
    <w:name w:val="Standard Num Zchn"/>
    <w:link w:val="StandardNum"/>
    <w:rsid w:val="00635C20"/>
    <w:rPr>
      <w:rFonts w:ascii="Calibri" w:eastAsia="Times New Roman" w:hAnsi="Calibri" w:cs="Times New Roman"/>
      <w:bCs/>
      <w:lang w:eastAsia="en-GB"/>
    </w:rPr>
  </w:style>
  <w:style w:type="paragraph" w:styleId="Betarp">
    <w:name w:val="No Spacing"/>
    <w:basedOn w:val="prastasis"/>
    <w:uiPriority w:val="1"/>
    <w:qFormat/>
    <w:rsid w:val="008F2045"/>
    <w:pPr>
      <w:spacing w:after="0" w:line="240" w:lineRule="auto"/>
      <w:jc w:val="both"/>
    </w:pPr>
    <w:rPr>
      <w:rFonts w:ascii="Calibri" w:eastAsia="Calibri" w:hAnsi="Calibri" w:cs="Times New Roman"/>
    </w:rPr>
  </w:style>
  <w:style w:type="paragraph" w:customStyle="1" w:styleId="Default">
    <w:name w:val="Default"/>
    <w:rsid w:val="008F2045"/>
    <w:pPr>
      <w:autoSpaceDE w:val="0"/>
      <w:autoSpaceDN w:val="0"/>
      <w:adjustRightInd w:val="0"/>
      <w:spacing w:after="200" w:line="276" w:lineRule="auto"/>
    </w:pPr>
    <w:rPr>
      <w:rFonts w:ascii="Arial" w:eastAsia="Calibri" w:hAnsi="Arial" w:cs="Arial"/>
      <w:color w:val="000000"/>
      <w:sz w:val="24"/>
      <w:szCs w:val="24"/>
      <w:lang w:eastAsia="en-GB"/>
    </w:rPr>
  </w:style>
  <w:style w:type="paragraph" w:customStyle="1" w:styleId="Heading3Aether">
    <w:name w:val="Heading3_Aether"/>
    <w:basedOn w:val="Antrat3"/>
    <w:next w:val="prastasis"/>
    <w:link w:val="Heading3AetherChar"/>
    <w:autoRedefine/>
    <w:rsid w:val="00613408"/>
    <w:pPr>
      <w:numPr>
        <w:ilvl w:val="2"/>
        <w:numId w:val="3"/>
      </w:numPr>
      <w:spacing w:before="0" w:after="120" w:line="276" w:lineRule="auto"/>
      <w:jc w:val="both"/>
    </w:pPr>
    <w:rPr>
      <w:rFonts w:ascii="Calibri" w:eastAsia="Times New Roman" w:hAnsi="Calibri" w:cs="Times New Roman"/>
      <w:color w:val="0070C0"/>
      <w:lang w:val="x-none" w:eastAsia="x-none"/>
    </w:rPr>
  </w:style>
  <w:style w:type="character" w:customStyle="1" w:styleId="Heading3AetherChar">
    <w:name w:val="Heading3_Aether Char"/>
    <w:link w:val="Heading3Aether"/>
    <w:rsid w:val="00613408"/>
    <w:rPr>
      <w:rFonts w:ascii="Calibri" w:eastAsia="Times New Roman" w:hAnsi="Calibri" w:cs="Times New Roman"/>
      <w:b/>
      <w:bCs/>
      <w:color w:val="0070C0"/>
      <w:lang w:val="x-none" w:eastAsia="x-none"/>
    </w:rPr>
  </w:style>
  <w:style w:type="paragraph" w:customStyle="1" w:styleId="Heading2Aether">
    <w:name w:val="Heading2_Aether"/>
    <w:basedOn w:val="Antrat2"/>
    <w:next w:val="prastasis"/>
    <w:link w:val="Heading2AetherChar"/>
    <w:autoRedefine/>
    <w:rsid w:val="002078C4"/>
    <w:pPr>
      <w:numPr>
        <w:ilvl w:val="1"/>
        <w:numId w:val="7"/>
      </w:numPr>
      <w:spacing w:before="240" w:after="120" w:line="240" w:lineRule="auto"/>
      <w:jc w:val="both"/>
    </w:pPr>
    <w:rPr>
      <w:rFonts w:ascii="Calibri" w:eastAsia="Times New Roman" w:hAnsi="Calibri" w:cs="Times New Roman"/>
      <w:color w:val="0070C0"/>
      <w:sz w:val="28"/>
      <w:szCs w:val="28"/>
      <w:lang w:eastAsia="x-none"/>
    </w:rPr>
  </w:style>
  <w:style w:type="character" w:customStyle="1" w:styleId="Heading2AetherChar">
    <w:name w:val="Heading2_Aether Char"/>
    <w:link w:val="Heading2Aether"/>
    <w:rsid w:val="002078C4"/>
    <w:rPr>
      <w:rFonts w:ascii="Calibri" w:eastAsia="Times New Roman" w:hAnsi="Calibri" w:cs="Times New Roman"/>
      <w:b/>
      <w:bCs/>
      <w:color w:val="0070C0"/>
      <w:sz w:val="28"/>
      <w:szCs w:val="28"/>
      <w:lang w:eastAsia="x-none"/>
    </w:rPr>
  </w:style>
  <w:style w:type="paragraph" w:customStyle="1" w:styleId="Heading1Aether">
    <w:name w:val="Heading1_Aether"/>
    <w:basedOn w:val="Antrat1"/>
    <w:next w:val="prastasis"/>
    <w:link w:val="Heading1AetherChar"/>
    <w:autoRedefine/>
    <w:rsid w:val="005031FF"/>
    <w:pPr>
      <w:numPr>
        <w:numId w:val="0"/>
      </w:numPr>
      <w:spacing w:before="120" w:after="120" w:line="240" w:lineRule="auto"/>
      <w:ind w:left="432" w:hanging="432"/>
      <w:jc w:val="both"/>
    </w:pPr>
    <w:rPr>
      <w:rFonts w:ascii="Calibri" w:eastAsia="Times New Roman" w:hAnsi="Calibri" w:cs="Times New Roman"/>
      <w:b/>
      <w:bCs/>
      <w:color w:val="0070C0"/>
      <w:sz w:val="40"/>
      <w:szCs w:val="40"/>
    </w:rPr>
  </w:style>
  <w:style w:type="character" w:customStyle="1" w:styleId="Heading1AetherChar">
    <w:name w:val="Heading1_Aether Char"/>
    <w:link w:val="Heading1Aether"/>
    <w:rsid w:val="005031FF"/>
    <w:rPr>
      <w:rFonts w:ascii="Calibri" w:eastAsia="Times New Roman" w:hAnsi="Calibri" w:cs="Times New Roman"/>
      <w:b/>
      <w:bCs/>
      <w:color w:val="0070C0"/>
      <w:sz w:val="40"/>
      <w:szCs w:val="40"/>
    </w:rPr>
  </w:style>
  <w:style w:type="paragraph" w:customStyle="1" w:styleId="Literatur">
    <w:name w:val="Literatur"/>
    <w:basedOn w:val="prastasis"/>
    <w:rsid w:val="00492A2E"/>
    <w:pPr>
      <w:suppressAutoHyphens/>
      <w:spacing w:after="120" w:line="264" w:lineRule="auto"/>
      <w:ind w:left="567" w:hanging="567"/>
    </w:pPr>
    <w:rPr>
      <w:rFonts w:ascii="Times" w:eastAsia="Times New Roman" w:hAnsi="Times" w:cs="Times New Roman"/>
      <w:sz w:val="20"/>
      <w:lang w:eastAsia="en-GB"/>
    </w:rPr>
  </w:style>
  <w:style w:type="paragraph" w:customStyle="1" w:styleId="RegHead1">
    <w:name w:val="RegHead1"/>
    <w:basedOn w:val="prastasis"/>
    <w:next w:val="RegHead2"/>
    <w:rsid w:val="00A202B1"/>
    <w:pPr>
      <w:keepNext/>
      <w:numPr>
        <w:numId w:val="5"/>
      </w:numPr>
      <w:spacing w:before="180" w:after="0" w:line="240" w:lineRule="auto"/>
      <w:jc w:val="center"/>
    </w:pPr>
    <w:rPr>
      <w:rFonts w:ascii="Times New Roman" w:eastAsia="Times New Roman" w:hAnsi="Times New Roman" w:cs="Times New Roman"/>
      <w:b/>
      <w:sz w:val="28"/>
      <w:szCs w:val="20"/>
      <w:lang w:eastAsia="de-DE"/>
    </w:rPr>
  </w:style>
  <w:style w:type="paragraph" w:customStyle="1" w:styleId="RegHead2">
    <w:name w:val="RegHead2"/>
    <w:basedOn w:val="prastasis"/>
    <w:next w:val="RegHead3"/>
    <w:rsid w:val="00A202B1"/>
    <w:pPr>
      <w:keepNext/>
      <w:numPr>
        <w:ilvl w:val="1"/>
        <w:numId w:val="5"/>
      </w:numPr>
      <w:spacing w:before="180" w:after="0" w:line="240" w:lineRule="auto"/>
      <w:jc w:val="center"/>
    </w:pPr>
    <w:rPr>
      <w:rFonts w:ascii="Times New Roman" w:eastAsia="Times New Roman" w:hAnsi="Times New Roman" w:cs="Times New Roman"/>
      <w:b/>
      <w:szCs w:val="20"/>
      <w:lang w:eastAsia="de-DE"/>
    </w:rPr>
  </w:style>
  <w:style w:type="paragraph" w:customStyle="1" w:styleId="RegHead3">
    <w:name w:val="RegHead3"/>
    <w:basedOn w:val="prastasis"/>
    <w:next w:val="RegPara"/>
    <w:rsid w:val="00A202B1"/>
    <w:pPr>
      <w:numPr>
        <w:ilvl w:val="2"/>
        <w:numId w:val="5"/>
      </w:numPr>
      <w:spacing w:before="180" w:after="0" w:line="240" w:lineRule="auto"/>
      <w:jc w:val="center"/>
    </w:pPr>
    <w:rPr>
      <w:rFonts w:ascii="Times New Roman" w:eastAsia="Times New Roman" w:hAnsi="Times New Roman" w:cs="Times New Roman"/>
      <w:szCs w:val="20"/>
      <w:u w:val="single"/>
      <w:lang w:eastAsia="de-DE"/>
    </w:rPr>
  </w:style>
  <w:style w:type="paragraph" w:customStyle="1" w:styleId="RegPara">
    <w:name w:val="RegPara"/>
    <w:basedOn w:val="prastasis"/>
    <w:link w:val="RegParaChar"/>
    <w:rsid w:val="00A202B1"/>
    <w:pPr>
      <w:numPr>
        <w:ilvl w:val="3"/>
        <w:numId w:val="5"/>
      </w:numPr>
      <w:spacing w:before="60" w:after="240" w:line="264" w:lineRule="auto"/>
    </w:pPr>
    <w:rPr>
      <w:rFonts w:ascii="Arial" w:eastAsia="Times New Roman" w:hAnsi="Arial" w:cs="Arial"/>
      <w:szCs w:val="20"/>
      <w:lang w:eastAsia="de-DE"/>
    </w:rPr>
  </w:style>
  <w:style w:type="character" w:customStyle="1" w:styleId="RegParaChar">
    <w:name w:val="RegPara Char"/>
    <w:basedOn w:val="Numatytasispastraiposriftas"/>
    <w:link w:val="RegPara"/>
    <w:rsid w:val="00A202B1"/>
    <w:rPr>
      <w:rFonts w:ascii="Arial" w:eastAsia="Times New Roman" w:hAnsi="Arial" w:cs="Arial"/>
      <w:szCs w:val="20"/>
      <w:lang w:eastAsia="de-DE"/>
    </w:rPr>
  </w:style>
  <w:style w:type="character" w:customStyle="1" w:styleId="StandardNumChar">
    <w:name w:val="Standard Num Char"/>
    <w:rsid w:val="003771BF"/>
    <w:rPr>
      <w:rFonts w:ascii="Calibri" w:eastAsia="Times New Roman" w:hAnsi="Calibri" w:cs="Times New Roman"/>
      <w:bCs/>
      <w:lang w:eastAsia="en-GB"/>
    </w:rPr>
  </w:style>
  <w:style w:type="paragraph" w:customStyle="1" w:styleId="SingleTxtG">
    <w:name w:val="_ Single Txt_G"/>
    <w:basedOn w:val="prastasis"/>
    <w:link w:val="SingleTxtGChar"/>
    <w:rsid w:val="00ED274E"/>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ED274E"/>
    <w:rPr>
      <w:rFonts w:ascii="Times New Roman" w:eastAsia="Times New Roman" w:hAnsi="Times New Roman" w:cs="Times New Roman"/>
      <w:sz w:val="20"/>
      <w:szCs w:val="20"/>
    </w:rPr>
  </w:style>
  <w:style w:type="character" w:styleId="Perirtashipersaitas">
    <w:name w:val="FollowedHyperlink"/>
    <w:basedOn w:val="Numatytasispastraiposriftas"/>
    <w:uiPriority w:val="99"/>
    <w:semiHidden/>
    <w:unhideWhenUsed/>
    <w:rsid w:val="00756737"/>
    <w:rPr>
      <w:color w:val="954F72" w:themeColor="followedHyperlink"/>
      <w:u w:val="single"/>
    </w:rPr>
  </w:style>
  <w:style w:type="paragraph" w:customStyle="1" w:styleId="RefDatum">
    <w:name w:val="RefDatum"/>
    <w:basedOn w:val="prastasis"/>
    <w:next w:val="prastasis"/>
    <w:qFormat/>
    <w:rsid w:val="00C902FF"/>
    <w:pPr>
      <w:spacing w:after="120" w:line="262" w:lineRule="exact"/>
      <w:jc w:val="both"/>
    </w:pPr>
    <w:rPr>
      <w:rFonts w:ascii="Arial" w:eastAsia="Times New Roman" w:hAnsi="Arial" w:cs="Times New Roman"/>
      <w:sz w:val="20"/>
      <w:szCs w:val="20"/>
      <w:lang w:eastAsia="de-DE"/>
    </w:rPr>
  </w:style>
  <w:style w:type="character" w:customStyle="1" w:styleId="UnresolvedMention1">
    <w:name w:val="Unresolved Mention1"/>
    <w:basedOn w:val="Numatytasispastraiposriftas"/>
    <w:uiPriority w:val="99"/>
    <w:semiHidden/>
    <w:unhideWhenUsed/>
    <w:rsid w:val="009F0906"/>
    <w:rPr>
      <w:color w:val="605E5C"/>
      <w:shd w:val="clear" w:color="auto" w:fill="E1DFDD"/>
    </w:rPr>
  </w:style>
  <w:style w:type="character" w:customStyle="1" w:styleId="Antrat5Diagrama">
    <w:name w:val="Antraštė 5 Diagrama"/>
    <w:basedOn w:val="Numatytasispastraiposriftas"/>
    <w:link w:val="Antrat5"/>
    <w:uiPriority w:val="9"/>
    <w:semiHidden/>
    <w:rsid w:val="00415EBE"/>
    <w:rPr>
      <w:rFonts w:asciiTheme="majorHAnsi" w:eastAsiaTheme="majorEastAsia" w:hAnsiTheme="majorHAnsi" w:cstheme="majorBidi"/>
      <w:color w:val="2E74B5" w:themeColor="accent1" w:themeShade="BF"/>
    </w:rPr>
  </w:style>
  <w:style w:type="character" w:customStyle="1" w:styleId="Antrat4Diagrama">
    <w:name w:val="Antraštė 4 Diagrama"/>
    <w:basedOn w:val="Numatytasispastraiposriftas"/>
    <w:link w:val="Antrat4"/>
    <w:uiPriority w:val="9"/>
    <w:rsid w:val="0038470B"/>
    <w:rPr>
      <w:rFonts w:asciiTheme="majorHAnsi" w:eastAsiaTheme="majorEastAsia" w:hAnsiTheme="majorHAnsi" w:cstheme="majorBidi"/>
      <w:i/>
      <w:iCs/>
      <w:color w:val="2E74B5" w:themeColor="accent1" w:themeShade="BF"/>
    </w:rPr>
  </w:style>
  <w:style w:type="character" w:styleId="Neapdorotaspaminjimas">
    <w:name w:val="Unresolved Mention"/>
    <w:basedOn w:val="Numatytasispastraiposriftas"/>
    <w:uiPriority w:val="99"/>
    <w:semiHidden/>
    <w:unhideWhenUsed/>
    <w:rsid w:val="007C0A5F"/>
    <w:rPr>
      <w:color w:val="605E5C"/>
      <w:shd w:val="clear" w:color="auto" w:fill="E1DFDD"/>
    </w:rPr>
  </w:style>
  <w:style w:type="paragraph" w:customStyle="1" w:styleId="AnnexHeading">
    <w:name w:val="Annex Heading"/>
    <w:basedOn w:val="Turinioantrat"/>
    <w:link w:val="AnnexHeadingChar"/>
    <w:qFormat/>
    <w:rsid w:val="002859A8"/>
  </w:style>
  <w:style w:type="paragraph" w:customStyle="1" w:styleId="AnnexHeading2">
    <w:name w:val="Annex Heading 2"/>
    <w:basedOn w:val="Antrat2"/>
    <w:link w:val="AnnexHeading2Char"/>
    <w:qFormat/>
    <w:rsid w:val="00E3069C"/>
    <w:pPr>
      <w:numPr>
        <w:numId w:val="26"/>
      </w:numPr>
    </w:pPr>
    <w:rPr>
      <w:sz w:val="28"/>
      <w:szCs w:val="28"/>
    </w:rPr>
  </w:style>
  <w:style w:type="character" w:customStyle="1" w:styleId="TurinioantratDiagrama">
    <w:name w:val="Turinio antraštė Diagrama"/>
    <w:basedOn w:val="Antrat1Diagrama"/>
    <w:link w:val="Turinioantrat"/>
    <w:uiPriority w:val="39"/>
    <w:rsid w:val="002859A8"/>
    <w:rPr>
      <w:rFonts w:asciiTheme="majorHAnsi" w:eastAsiaTheme="majorEastAsia" w:hAnsiTheme="majorHAnsi" w:cstheme="majorBidi"/>
      <w:color w:val="2E74B5" w:themeColor="accent1" w:themeShade="BF"/>
      <w:sz w:val="32"/>
      <w:szCs w:val="32"/>
      <w:lang w:val="en-US"/>
    </w:rPr>
  </w:style>
  <w:style w:type="character" w:customStyle="1" w:styleId="AnnexHeadingChar">
    <w:name w:val="Annex Heading Char"/>
    <w:basedOn w:val="TurinioantratDiagrama"/>
    <w:link w:val="AnnexHeading"/>
    <w:rsid w:val="002859A8"/>
    <w:rPr>
      <w:rFonts w:asciiTheme="majorHAnsi" w:eastAsiaTheme="majorEastAsia" w:hAnsiTheme="majorHAnsi" w:cstheme="majorBidi"/>
      <w:color w:val="2E74B5" w:themeColor="accent1" w:themeShade="BF"/>
      <w:sz w:val="32"/>
      <w:szCs w:val="32"/>
      <w:lang w:val="en-US"/>
    </w:rPr>
  </w:style>
  <w:style w:type="paragraph" w:customStyle="1" w:styleId="AnnexHeading3">
    <w:name w:val="Annex Heading 3"/>
    <w:basedOn w:val="Antrat2"/>
    <w:link w:val="AnnexHeading3Char"/>
    <w:qFormat/>
    <w:rsid w:val="00E3069C"/>
    <w:pPr>
      <w:numPr>
        <w:numId w:val="28"/>
      </w:numPr>
      <w:outlineLvl w:val="9"/>
    </w:pPr>
    <w:rPr>
      <w:sz w:val="24"/>
      <w:szCs w:val="24"/>
    </w:rPr>
  </w:style>
  <w:style w:type="character" w:customStyle="1" w:styleId="AnnexHeading2Char">
    <w:name w:val="Annex Heading 2 Char"/>
    <w:basedOn w:val="Antrat1Diagrama"/>
    <w:link w:val="AnnexHeading2"/>
    <w:rsid w:val="00E3069C"/>
    <w:rPr>
      <w:rFonts w:asciiTheme="majorHAnsi" w:eastAsiaTheme="majorEastAsia" w:hAnsiTheme="majorHAnsi" w:cstheme="majorBidi"/>
      <w:b/>
      <w:bCs/>
      <w:color w:val="5B9BD5" w:themeColor="accent1"/>
      <w:sz w:val="28"/>
      <w:szCs w:val="28"/>
    </w:rPr>
  </w:style>
  <w:style w:type="character" w:customStyle="1" w:styleId="AnnexHeading3Char">
    <w:name w:val="Annex Heading 3 Char"/>
    <w:basedOn w:val="Antrat2Diagrama"/>
    <w:link w:val="AnnexHeading3"/>
    <w:rsid w:val="00E3069C"/>
    <w:rPr>
      <w:rFonts w:asciiTheme="majorHAnsi" w:eastAsiaTheme="majorEastAsia" w:hAnsiTheme="majorHAnsi" w:cstheme="majorBidi"/>
      <w:b/>
      <w:bCs/>
      <w:color w:val="5B9BD5" w:themeColor="accent1"/>
      <w:sz w:val="24"/>
      <w:szCs w:val="24"/>
    </w:rPr>
  </w:style>
  <w:style w:type="paragraph" w:customStyle="1" w:styleId="bullet">
    <w:name w:val="bullet"/>
    <w:basedOn w:val="StandardNum"/>
    <w:rsid w:val="00E8293A"/>
    <w:pPr>
      <w:numPr>
        <w:numId w:val="8"/>
      </w:num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ce.org/fileadmin/DAM/env/documents/2013/air/eb/ECE.EB.AIR.114_ENG.pdf" TargetMode="External"/><Relationship Id="rId18" Type="http://schemas.openxmlformats.org/officeDocument/2006/relationships/hyperlink" Target="https://www.eea.europa.eu/themes/air/air-pollution-sources-1/national-emission-ceilings/national-emission-reduction-commitments-directiv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ea.europa.eu/publications/emep-eea-guidebook-2019%20EU%202019" TargetMode="External"/><Relationship Id="rId7" Type="http://schemas.openxmlformats.org/officeDocument/2006/relationships/settings" Target="settings.xml"/><Relationship Id="rId12" Type="http://schemas.openxmlformats.org/officeDocument/2006/relationships/hyperlink" Target="http://www.ceip.at/ms/ceip_home1/ceip_home/reporting_instructions/" TargetMode="External"/><Relationship Id="rId17" Type="http://schemas.openxmlformats.org/officeDocument/2006/relationships/hyperlink" Target="http://www.ceip.at/fileadmin/inhalte/emep/Adjustments/ECE_EB_AIR_130_AV_for_the_web.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ece.org/fileadmin/DAM/env/documents/2014/AIR/EB/Decision_2014_1.pdf" TargetMode="External"/><Relationship Id="rId20" Type="http://schemas.openxmlformats.org/officeDocument/2006/relationships/hyperlink" Target="http://www.eea.europa.eu//publications/emep-eea-guidebook-2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ip.at/fileadmin/inhalte/emep/Adjustments/ECE_EB_AIR_130_AV_for_the_web.pdf" TargetMode="External"/><Relationship Id="rId24" Type="http://schemas.openxmlformats.org/officeDocument/2006/relationships/hyperlink" Target="http://eur-lex.europa.eu/legal-content/EN/TXT/?uri=uriserv%3AOJ.L_.2016.344.01.0001.01.ENG" TargetMode="External"/><Relationship Id="rId5" Type="http://schemas.openxmlformats.org/officeDocument/2006/relationships/numbering" Target="numbering.xml"/><Relationship Id="rId15" Type="http://schemas.openxmlformats.org/officeDocument/2006/relationships/hyperlink" Target="http://www.ceip.at/ms/ceip_home1/ceip_home/reporting_instructions/" TargetMode="External"/><Relationship Id="rId23" Type="http://schemas.openxmlformats.org/officeDocument/2006/relationships/hyperlink" Target="http://eur-lex.europa.eu/legal-content/EN/TXT/PDF/?uri=CELEX:02001L0081-20130701&amp;from=EN" TargetMode="External"/><Relationship Id="rId10" Type="http://schemas.openxmlformats.org/officeDocument/2006/relationships/endnotes" Target="endnotes.xml"/><Relationship Id="rId19" Type="http://schemas.openxmlformats.org/officeDocument/2006/relationships/hyperlink" Target="http://www.eea.europa.eu/publications/emep-eea-guidebook-20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ce.org/fileadmin/DAM/env/documents/2012/EB/ECE_EB.AIR_113_Add.1_ENG_1_.pdf" TargetMode="External"/><Relationship Id="rId22" Type="http://schemas.openxmlformats.org/officeDocument/2006/relationships/hyperlink" Target="https://ec.europa.eu/environment/air/documents/Air%20Emission%20Inventory%20Review%20Guidelines%202020_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dir/2001/81/2018-07-01" TargetMode="External"/><Relationship Id="rId2" Type="http://schemas.openxmlformats.org/officeDocument/2006/relationships/hyperlink" Target="http://www.ceip.at/fileadmin/inhalte/emep/Adjustments/ECE_EB_AIR_130_AV_for_the_web.pdf" TargetMode="External"/><Relationship Id="rId1" Type="http://schemas.openxmlformats.org/officeDocument/2006/relationships/hyperlink" Target="http://ec.europa.eu/environment/air/reduction/implem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4ab81e25-ff4d-40b2-a940-657f35b9c7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CBC91B65AE254BBB6A9B81039ACDC0" ma:contentTypeVersion="11" ma:contentTypeDescription="Create a new document." ma:contentTypeScope="" ma:versionID="c21534315129073fb5b2e1511fb83122">
  <xsd:schema xmlns:xsd="http://www.w3.org/2001/XMLSchema" xmlns:xs="http://www.w3.org/2001/XMLSchema" xmlns:p="http://schemas.microsoft.com/office/2006/metadata/properties" xmlns:ns2="d79bd523-ebb4-420c-baf4-cbfcc67c0d8c" xmlns:ns3="4ab81e25-ff4d-40b2-a940-657f35b9c76f" targetNamespace="http://schemas.microsoft.com/office/2006/metadata/properties" ma:root="true" ma:fieldsID="19a15edad5d5986560afcfe3b8dfa1f9" ns2:_="" ns3:_="">
    <xsd:import namespace="d79bd523-ebb4-420c-baf4-cbfcc67c0d8c"/>
    <xsd:import namespace="4ab81e25-ff4d-40b2-a940-657f35b9c7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otes0"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d523-ebb4-420c-baf4-cbfcc67c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1e25-ff4d-40b2-a940-657f35b9c7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Notes0" ma:index="12" nillable="true" ma:displayName="Notes" ma:internalName="Notes0">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1A5A6-727D-428F-95B9-6D5C62641198}">
  <ds:schemaRefs>
    <ds:schemaRef ds:uri="http://schemas.openxmlformats.org/officeDocument/2006/bibliography"/>
  </ds:schemaRefs>
</ds:datastoreItem>
</file>

<file path=customXml/itemProps2.xml><?xml version="1.0" encoding="utf-8"?>
<ds:datastoreItem xmlns:ds="http://schemas.openxmlformats.org/officeDocument/2006/customXml" ds:itemID="{18B59376-F102-4550-8B94-63602983C1E8}">
  <ds:schemaRefs>
    <ds:schemaRef ds:uri="http://schemas.microsoft.com/sharepoint/v3/contenttype/forms"/>
  </ds:schemaRefs>
</ds:datastoreItem>
</file>

<file path=customXml/itemProps3.xml><?xml version="1.0" encoding="utf-8"?>
<ds:datastoreItem xmlns:ds="http://schemas.openxmlformats.org/officeDocument/2006/customXml" ds:itemID="{89265301-5A22-4D28-AB5C-46BF2183A452}">
  <ds:schemaRefs>
    <ds:schemaRef ds:uri="http://schemas.microsoft.com/office/2006/metadata/properties"/>
    <ds:schemaRef ds:uri="http://schemas.microsoft.com/office/infopath/2007/PartnerControls"/>
    <ds:schemaRef ds:uri="4ab81e25-ff4d-40b2-a940-657f35b9c76f"/>
  </ds:schemaRefs>
</ds:datastoreItem>
</file>

<file path=customXml/itemProps4.xml><?xml version="1.0" encoding="utf-8"?>
<ds:datastoreItem xmlns:ds="http://schemas.openxmlformats.org/officeDocument/2006/customXml" ds:itemID="{F3BE4BBE-F329-4F90-BA53-286CAAF8A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d523-ebb4-420c-baf4-cbfcc67c0d8c"/>
    <ds:schemaRef ds:uri="4ab81e25-ff4d-40b2-a940-657f35b9c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81749</Words>
  <Characters>46598</Characters>
  <Application>Microsoft Office Word</Application>
  <DocSecurity>0</DocSecurity>
  <Lines>388</Lines>
  <Paragraphs>256</Paragraphs>
  <ScaleCrop>false</ScaleCrop>
  <Company>European Environment Agency</Company>
  <LinksUpToDate>false</LinksUpToDate>
  <CharactersWithSpaces>128091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Sporer</dc:creator>
  <cp:keywords/>
  <dc:description/>
  <cp:lastModifiedBy>Vilma Bimbaite</cp:lastModifiedBy>
  <cp:revision>2</cp:revision>
  <cp:lastPrinted>2017-03-07T15:23:00Z</cp:lastPrinted>
  <dcterms:created xsi:type="dcterms:W3CDTF">2021-04-20T14:03:00Z</dcterms:created>
  <dcterms:modified xsi:type="dcterms:W3CDTF">2021-04-20T14:03:00Z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0x010100D5CBC91B65AE254BBB6A9B81039ACDC0</vt:lpwstr>
  </property>
</Properties>
</file>